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djustRightInd w:val="0"/>
        <w:snapToGrid w:val="0"/>
        <w:spacing w:before="0" w:after="0" w:line="800" w:lineRule="exact"/>
        <w:jc w:val="center"/>
        <w:textAlignment w:val="baseline"/>
        <w:rPr>
          <w:rFonts w:hint="default" w:ascii="宋体" w:hAnsi="宋体" w:eastAsia="宋体" w:cs="宋体"/>
          <w:color w:val="auto"/>
          <w:w w:val="80"/>
          <w:szCs w:val="44"/>
          <w:highlight w:val="none"/>
          <w:lang w:val="en-US" w:eastAsia="zh-CN"/>
        </w:rPr>
      </w:pPr>
      <w:r>
        <w:rPr>
          <w:rFonts w:hint="eastAsia" w:ascii="宋体" w:hAnsi="宋体" w:eastAsia="宋体" w:cs="宋体"/>
          <w:color w:val="auto"/>
          <w:w w:val="80"/>
          <w:szCs w:val="44"/>
          <w:highlight w:val="none"/>
          <w:lang w:val="en-US" w:eastAsia="zh-CN"/>
        </w:rPr>
        <w:t>项目需求及评审评分项</w:t>
      </w:r>
    </w:p>
    <w:p>
      <w:pPr>
        <w:pStyle w:val="3"/>
        <w:keepNext w:val="0"/>
        <w:keepLines w:val="0"/>
        <w:adjustRightInd w:val="0"/>
        <w:snapToGrid w:val="0"/>
        <w:spacing w:before="0" w:after="0" w:line="800" w:lineRule="exact"/>
        <w:jc w:val="center"/>
        <w:textAlignment w:val="baseline"/>
        <w:rPr>
          <w:rFonts w:hint="eastAsia" w:ascii="宋体" w:hAnsi="宋体" w:eastAsia="宋体" w:cs="宋体"/>
          <w:color w:val="auto"/>
          <w:w w:val="80"/>
          <w:sz w:val="36"/>
          <w:szCs w:val="36"/>
          <w:highlight w:val="none"/>
        </w:rPr>
      </w:pPr>
      <w:r>
        <w:rPr>
          <w:rFonts w:hint="eastAsia" w:ascii="宋体" w:hAnsi="宋体" w:eastAsia="宋体" w:cs="宋体"/>
          <w:color w:val="auto"/>
          <w:w w:val="80"/>
          <w:sz w:val="36"/>
          <w:szCs w:val="36"/>
          <w:highlight w:val="none"/>
          <w:lang w:val="en-US" w:eastAsia="zh-CN"/>
        </w:rPr>
        <w:t xml:space="preserve">第一部分 </w:t>
      </w:r>
      <w:r>
        <w:rPr>
          <w:rFonts w:hint="eastAsia" w:ascii="宋体" w:hAnsi="宋体" w:eastAsia="宋体" w:cs="宋体"/>
          <w:color w:val="auto"/>
          <w:w w:val="80"/>
          <w:sz w:val="36"/>
          <w:szCs w:val="36"/>
          <w:highlight w:val="none"/>
        </w:rPr>
        <w:t>项目需求</w:t>
      </w:r>
    </w:p>
    <w:p>
      <w:pPr>
        <w:spacing w:line="56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一、项目名称：</w:t>
      </w:r>
    </w:p>
    <w:p>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南通市通农化肥有限公司清算审计项目。</w:t>
      </w:r>
    </w:p>
    <w:p>
      <w:pPr>
        <w:spacing w:line="560" w:lineRule="exact"/>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二、项目概述</w:t>
      </w:r>
      <w:r>
        <w:rPr>
          <w:rFonts w:hint="eastAsia" w:ascii="宋体" w:hAnsi="宋体" w:cs="宋体"/>
          <w:color w:val="auto"/>
          <w:sz w:val="24"/>
          <w:szCs w:val="24"/>
          <w:highlight w:val="none"/>
        </w:rPr>
        <w:t>：</w:t>
      </w:r>
    </w:p>
    <w:p>
      <w:pPr>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南通农发资产运营集团有限公司（以下简称：农发公司）受南通市供销合作总社（以下简称：市总社）委托，</w:t>
      </w:r>
      <w:r>
        <w:rPr>
          <w:rFonts w:hint="eastAsia" w:ascii="宋体" w:hAnsi="宋体" w:eastAsia="宋体" w:cs="宋体"/>
          <w:color w:val="auto"/>
          <w:sz w:val="24"/>
          <w:szCs w:val="24"/>
          <w:highlight w:val="none"/>
          <w:lang w:eastAsia="zh-CN"/>
        </w:rPr>
        <w:t>拟对南通市通农化肥有限公司（以下简称：通农化肥）清算审计项目进行采购。</w:t>
      </w:r>
    </w:p>
    <w:p>
      <w:pPr>
        <w:spacing w:line="5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通农化肥于</w:t>
      </w:r>
      <w:r>
        <w:rPr>
          <w:rFonts w:hint="eastAsia" w:ascii="宋体" w:hAnsi="宋体" w:eastAsia="宋体" w:cs="宋体"/>
          <w:color w:val="auto"/>
          <w:sz w:val="24"/>
          <w:szCs w:val="24"/>
          <w:highlight w:val="none"/>
          <w:lang w:val="en-US" w:eastAsia="zh-CN"/>
        </w:rPr>
        <w:t>2001</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5月21日</w:t>
      </w:r>
      <w:r>
        <w:rPr>
          <w:rFonts w:hint="eastAsia" w:ascii="宋体" w:hAnsi="宋体" w:eastAsia="宋体" w:cs="宋体"/>
          <w:color w:val="auto"/>
          <w:sz w:val="24"/>
          <w:szCs w:val="24"/>
          <w:highlight w:val="none"/>
          <w:lang w:eastAsia="zh-CN"/>
        </w:rPr>
        <w:t>成立，注册资本人民币</w:t>
      </w:r>
      <w:r>
        <w:rPr>
          <w:rFonts w:hint="eastAsia" w:ascii="宋体" w:hAnsi="宋体" w:eastAsia="宋体" w:cs="宋体"/>
          <w:color w:val="auto"/>
          <w:sz w:val="24"/>
          <w:szCs w:val="24"/>
          <w:highlight w:val="none"/>
          <w:lang w:val="en-US" w:eastAsia="zh-CN"/>
        </w:rPr>
        <w:t>61.5</w:t>
      </w:r>
      <w:r>
        <w:rPr>
          <w:rFonts w:hint="eastAsia" w:ascii="宋体" w:hAnsi="宋体" w:eastAsia="宋体" w:cs="宋体"/>
          <w:color w:val="auto"/>
          <w:sz w:val="24"/>
          <w:szCs w:val="24"/>
          <w:highlight w:val="none"/>
          <w:lang w:eastAsia="zh-CN"/>
        </w:rPr>
        <w:t>万元，其中市总社出资</w:t>
      </w:r>
      <w:r>
        <w:rPr>
          <w:rFonts w:hint="eastAsia" w:ascii="宋体" w:hAnsi="宋体" w:eastAsia="宋体" w:cs="宋体"/>
          <w:color w:val="auto"/>
          <w:sz w:val="24"/>
          <w:szCs w:val="24"/>
          <w:highlight w:val="none"/>
          <w:lang w:val="en-US" w:eastAsia="zh-CN"/>
        </w:rPr>
        <w:t>40万元，占股65%。</w:t>
      </w:r>
      <w:r>
        <w:rPr>
          <w:rFonts w:hint="eastAsia" w:ascii="宋体" w:hAnsi="宋体" w:eastAsia="宋体" w:cs="宋体"/>
          <w:color w:val="auto"/>
          <w:sz w:val="24"/>
          <w:szCs w:val="24"/>
          <w:highlight w:val="none"/>
          <w:lang w:eastAsia="zh-CN"/>
        </w:rPr>
        <w:t>公司经营范围：农药经营（危险化学品除外）；化肥、不再分装的包装种子、农业机械、农副产品、建筑材料的销售；货物仓储服务。</w:t>
      </w:r>
    </w:p>
    <w:p>
      <w:pPr>
        <w:spacing w:line="560" w:lineRule="exact"/>
        <w:ind w:firstLine="480" w:firstLineChars="200"/>
        <w:rPr>
          <w:rFonts w:hint="eastAsia" w:ascii="宋体" w:hAnsi="宋体" w:eastAsia="宋体" w:cs="宋体"/>
          <w:i w:val="0"/>
          <w:iCs w:val="0"/>
          <w:caps w:val="0"/>
          <w:color w:val="333333"/>
          <w:spacing w:val="0"/>
          <w:sz w:val="30"/>
          <w:szCs w:val="30"/>
          <w:highlight w:val="none"/>
          <w:shd w:val="clear" w:color="auto" w:fill="FBFDFE"/>
          <w:lang w:val="en-US" w:eastAsia="zh-CN"/>
        </w:rPr>
      </w:pPr>
      <w:r>
        <w:rPr>
          <w:rFonts w:hint="eastAsia" w:ascii="宋体" w:hAnsi="宋体" w:eastAsia="宋体" w:cs="宋体"/>
          <w:color w:val="auto"/>
          <w:sz w:val="24"/>
          <w:szCs w:val="24"/>
          <w:highlight w:val="none"/>
          <w:lang w:eastAsia="zh-CN"/>
        </w:rPr>
        <w:t>公司</w:t>
      </w:r>
      <w:r>
        <w:rPr>
          <w:rFonts w:hint="eastAsia" w:ascii="宋体" w:hAnsi="宋体" w:eastAsia="宋体" w:cs="宋体"/>
          <w:color w:val="auto"/>
          <w:sz w:val="24"/>
          <w:szCs w:val="24"/>
          <w:highlight w:val="none"/>
          <w:lang w:val="en-US" w:eastAsia="zh-CN"/>
        </w:rPr>
        <w:t>2019年6月通过简易程序完成工商注销。2019年6月公司账面总资产93.63万元，净资产-14.52万元。公司无以前年度审计报告。</w:t>
      </w:r>
    </w:p>
    <w:p>
      <w:pPr>
        <w:spacing w:line="56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rPr>
        <w:t>、审计要求</w:t>
      </w:r>
    </w:p>
    <w:p>
      <w:pPr>
        <w:spacing w:line="56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按照相关规定的内容保质保量完成审计任务</w:t>
      </w:r>
      <w:r>
        <w:rPr>
          <w:rFonts w:hint="eastAsia" w:ascii="宋体" w:hAnsi="宋体" w:cs="宋体"/>
          <w:color w:val="auto"/>
          <w:sz w:val="24"/>
          <w:szCs w:val="24"/>
          <w:highlight w:val="none"/>
          <w:lang w:val="en-US" w:eastAsia="zh-CN"/>
        </w:rPr>
        <w:t>并出具审计报告</w:t>
      </w:r>
      <w:r>
        <w:rPr>
          <w:rFonts w:hint="eastAsia" w:ascii="宋体" w:hAnsi="宋体" w:cs="宋体"/>
          <w:color w:val="auto"/>
          <w:sz w:val="24"/>
          <w:szCs w:val="24"/>
          <w:highlight w:val="none"/>
        </w:rPr>
        <w:t>，审计过程和结果应充分体现应有的专业技能，结果须公正、客观。成交单位出具的审核报告须符合相关规定。</w:t>
      </w:r>
    </w:p>
    <w:p>
      <w:pPr>
        <w:numPr>
          <w:ilvl w:val="0"/>
          <w:numId w:val="1"/>
        </w:numPr>
        <w:spacing w:line="560" w:lineRule="exact"/>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服务期限：自合同签订之日起25日内出具审计报告。</w:t>
      </w:r>
    </w:p>
    <w:p>
      <w:pPr>
        <w:numPr>
          <w:ilvl w:val="0"/>
          <w:numId w:val="1"/>
        </w:numPr>
        <w:spacing w:line="560" w:lineRule="exact"/>
        <w:ind w:left="0" w:leftChars="0"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付款方式：审计报告出具后，经采购人确认符合相关规定支付全款。</w:t>
      </w:r>
    </w:p>
    <w:p>
      <w:pPr>
        <w:numPr>
          <w:ilvl w:val="0"/>
          <w:numId w:val="0"/>
        </w:numPr>
        <w:spacing w:line="560" w:lineRule="exact"/>
        <w:ind w:leftChars="200"/>
        <w:rPr>
          <w:rFonts w:hint="eastAsia" w:ascii="宋体" w:hAnsi="宋体" w:eastAsia="宋体" w:cs="宋体"/>
          <w:b/>
          <w:color w:val="auto"/>
          <w:sz w:val="24"/>
          <w:szCs w:val="24"/>
          <w:highlight w:val="none"/>
          <w:lang w:val="en-US" w:eastAsia="zh-CN"/>
        </w:rPr>
      </w:pPr>
    </w:p>
    <w:p>
      <w:pPr>
        <w:rPr>
          <w:rFonts w:hint="eastAsia" w:ascii="宋体" w:hAnsi="宋体" w:eastAsia="宋体" w:cs="宋体"/>
          <w:color w:val="auto"/>
          <w:w w:val="80"/>
          <w:sz w:val="36"/>
          <w:szCs w:val="36"/>
          <w:highlight w:val="none"/>
          <w:lang w:val="en-US" w:eastAsia="zh-CN"/>
        </w:rPr>
      </w:pPr>
      <w:r>
        <w:rPr>
          <w:rFonts w:hint="eastAsia" w:ascii="宋体" w:hAnsi="宋体" w:eastAsia="宋体" w:cs="宋体"/>
          <w:color w:val="auto"/>
          <w:w w:val="80"/>
          <w:sz w:val="36"/>
          <w:szCs w:val="36"/>
          <w:highlight w:val="none"/>
          <w:lang w:val="en-US" w:eastAsia="zh-CN"/>
        </w:rPr>
        <w:br w:type="page"/>
      </w:r>
    </w:p>
    <w:p>
      <w:pPr>
        <w:pStyle w:val="3"/>
        <w:keepNext w:val="0"/>
        <w:keepLines w:val="0"/>
        <w:numPr>
          <w:ilvl w:val="0"/>
          <w:numId w:val="2"/>
        </w:numPr>
        <w:adjustRightInd w:val="0"/>
        <w:snapToGrid w:val="0"/>
        <w:spacing w:before="0" w:after="0" w:line="800" w:lineRule="exact"/>
        <w:jc w:val="center"/>
        <w:textAlignment w:val="baseline"/>
        <w:rPr>
          <w:rFonts w:hint="eastAsia" w:ascii="宋体" w:hAnsi="宋体" w:eastAsia="宋体" w:cs="宋体"/>
          <w:color w:val="auto"/>
          <w:w w:val="80"/>
          <w:sz w:val="36"/>
          <w:szCs w:val="36"/>
          <w:highlight w:val="none"/>
          <w:lang w:val="en-US" w:eastAsia="zh-CN"/>
        </w:rPr>
      </w:pPr>
      <w:r>
        <w:rPr>
          <w:rFonts w:hint="eastAsia" w:ascii="宋体" w:hAnsi="宋体" w:eastAsia="宋体" w:cs="宋体"/>
          <w:color w:val="auto"/>
          <w:w w:val="80"/>
          <w:sz w:val="36"/>
          <w:szCs w:val="36"/>
          <w:highlight w:val="none"/>
          <w:lang w:val="en-US" w:eastAsia="zh-CN"/>
        </w:rPr>
        <w:t>评审评分项</w:t>
      </w:r>
    </w:p>
    <w:p>
      <w:pPr>
        <w:snapToGrid w:val="0"/>
        <w:spacing w:line="360" w:lineRule="auto"/>
        <w:ind w:firstLine="480" w:firstLineChars="200"/>
        <w:outlineLvl w:val="2"/>
        <w:rPr>
          <w:rFonts w:hAnsi="宋体" w:cs="宋体"/>
          <w:sz w:val="24"/>
          <w:szCs w:val="24"/>
          <w:highlight w:val="none"/>
        </w:rPr>
      </w:pPr>
      <w:bookmarkStart w:id="0" w:name="_GoBack"/>
      <w:bookmarkEnd w:id="0"/>
      <w:r>
        <w:rPr>
          <w:rFonts w:hint="eastAsia" w:hAnsi="宋体" w:cs="宋体"/>
          <w:sz w:val="24"/>
          <w:szCs w:val="24"/>
          <w:highlight w:val="none"/>
        </w:rPr>
        <w:t>（一）技术分：（80分）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1033"/>
        <w:gridCol w:w="690"/>
        <w:gridCol w:w="4021"/>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pPr>
              <w:pStyle w:val="8"/>
              <w:widowControl/>
              <w:ind w:firstLine="0" w:firstLineChars="0"/>
              <w:jc w:val="center"/>
              <w:rPr>
                <w:sz w:val="22"/>
                <w:szCs w:val="22"/>
                <w:highlight w:val="none"/>
              </w:rPr>
            </w:pPr>
            <w:r>
              <w:rPr>
                <w:rFonts w:hint="eastAsia"/>
                <w:sz w:val="22"/>
                <w:szCs w:val="22"/>
                <w:highlight w:val="none"/>
              </w:rPr>
              <w:t>序号</w:t>
            </w:r>
          </w:p>
        </w:tc>
        <w:tc>
          <w:tcPr>
            <w:tcW w:w="1107" w:type="dxa"/>
            <w:noWrap w:val="0"/>
            <w:vAlign w:val="center"/>
          </w:tcPr>
          <w:p>
            <w:pPr>
              <w:pStyle w:val="8"/>
              <w:widowControl/>
              <w:ind w:firstLine="0" w:firstLineChars="0"/>
              <w:jc w:val="center"/>
              <w:rPr>
                <w:sz w:val="22"/>
                <w:szCs w:val="22"/>
                <w:highlight w:val="none"/>
              </w:rPr>
            </w:pPr>
            <w:r>
              <w:rPr>
                <w:rFonts w:hint="eastAsia"/>
                <w:sz w:val="22"/>
                <w:szCs w:val="22"/>
                <w:highlight w:val="none"/>
              </w:rPr>
              <w:t>评分项</w:t>
            </w:r>
          </w:p>
        </w:tc>
        <w:tc>
          <w:tcPr>
            <w:tcW w:w="721" w:type="dxa"/>
            <w:noWrap w:val="0"/>
            <w:vAlign w:val="center"/>
          </w:tcPr>
          <w:p>
            <w:pPr>
              <w:pStyle w:val="8"/>
              <w:widowControl/>
              <w:ind w:firstLine="0" w:firstLineChars="0"/>
              <w:jc w:val="center"/>
              <w:rPr>
                <w:sz w:val="22"/>
                <w:szCs w:val="22"/>
                <w:highlight w:val="none"/>
              </w:rPr>
            </w:pPr>
            <w:r>
              <w:rPr>
                <w:rFonts w:hint="eastAsia"/>
                <w:sz w:val="22"/>
                <w:szCs w:val="22"/>
                <w:highlight w:val="none"/>
              </w:rPr>
              <w:t>分值</w:t>
            </w:r>
          </w:p>
        </w:tc>
        <w:tc>
          <w:tcPr>
            <w:tcW w:w="4436" w:type="dxa"/>
            <w:noWrap w:val="0"/>
            <w:vAlign w:val="center"/>
          </w:tcPr>
          <w:p>
            <w:pPr>
              <w:pStyle w:val="8"/>
              <w:widowControl/>
              <w:ind w:firstLine="0" w:firstLineChars="0"/>
              <w:jc w:val="center"/>
              <w:rPr>
                <w:sz w:val="22"/>
                <w:szCs w:val="22"/>
                <w:highlight w:val="none"/>
              </w:rPr>
            </w:pPr>
            <w:r>
              <w:rPr>
                <w:rFonts w:hint="eastAsia"/>
                <w:sz w:val="22"/>
                <w:szCs w:val="22"/>
                <w:highlight w:val="none"/>
              </w:rPr>
              <w:t>评分标准</w:t>
            </w:r>
          </w:p>
        </w:tc>
        <w:tc>
          <w:tcPr>
            <w:tcW w:w="2414" w:type="dxa"/>
            <w:noWrap w:val="0"/>
            <w:vAlign w:val="center"/>
          </w:tcPr>
          <w:p>
            <w:pPr>
              <w:pStyle w:val="8"/>
              <w:widowControl/>
              <w:ind w:firstLine="0" w:firstLineChars="0"/>
              <w:jc w:val="center"/>
              <w:rPr>
                <w:sz w:val="22"/>
                <w:szCs w:val="22"/>
                <w:highlight w:val="none"/>
              </w:rPr>
            </w:pPr>
            <w:r>
              <w:rPr>
                <w:rFonts w:hint="eastAsia"/>
                <w:sz w:val="22"/>
                <w:szCs w:val="22"/>
                <w:highlight w:val="none"/>
                <w:lang w:val="en-US" w:eastAsia="zh-CN"/>
              </w:rPr>
              <w:t>佐证</w:t>
            </w:r>
            <w:r>
              <w:rPr>
                <w:rFonts w:hint="eastAsia"/>
                <w:sz w:val="22"/>
                <w:szCs w:val="22"/>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pPr>
              <w:pStyle w:val="8"/>
              <w:widowControl/>
              <w:ind w:firstLine="0" w:firstLineChars="0"/>
              <w:jc w:val="center"/>
              <w:rPr>
                <w:sz w:val="22"/>
                <w:szCs w:val="22"/>
                <w:highlight w:val="none"/>
              </w:rPr>
            </w:pPr>
            <w:r>
              <w:rPr>
                <w:rFonts w:hint="eastAsia"/>
                <w:sz w:val="22"/>
                <w:szCs w:val="22"/>
                <w:highlight w:val="none"/>
              </w:rPr>
              <w:t>1</w:t>
            </w:r>
          </w:p>
        </w:tc>
        <w:tc>
          <w:tcPr>
            <w:tcW w:w="1107" w:type="dxa"/>
            <w:noWrap w:val="0"/>
            <w:vAlign w:val="center"/>
          </w:tcPr>
          <w:p>
            <w:pPr>
              <w:pStyle w:val="8"/>
              <w:widowControl/>
              <w:ind w:firstLine="0" w:firstLineChars="0"/>
              <w:jc w:val="center"/>
              <w:rPr>
                <w:rFonts w:cs="宋体"/>
                <w:color w:val="000000"/>
                <w:kern w:val="0"/>
                <w:sz w:val="21"/>
                <w:szCs w:val="21"/>
                <w:highlight w:val="none"/>
                <w:lang w:bidi="ar"/>
              </w:rPr>
            </w:pPr>
            <w:r>
              <w:rPr>
                <w:rFonts w:hint="eastAsia" w:cs="宋体"/>
                <w:color w:val="000000"/>
                <w:kern w:val="0"/>
                <w:sz w:val="21"/>
                <w:szCs w:val="21"/>
                <w:highlight w:val="none"/>
                <w:lang w:bidi="ar"/>
              </w:rPr>
              <w:t>综合评价</w:t>
            </w:r>
          </w:p>
        </w:tc>
        <w:tc>
          <w:tcPr>
            <w:tcW w:w="721" w:type="dxa"/>
            <w:noWrap w:val="0"/>
            <w:vAlign w:val="center"/>
          </w:tcPr>
          <w:p>
            <w:pPr>
              <w:pStyle w:val="8"/>
              <w:widowControl/>
              <w:ind w:firstLine="0" w:firstLineChars="0"/>
              <w:jc w:val="center"/>
              <w:rPr>
                <w:rFonts w:cs="宋体"/>
                <w:color w:val="000000"/>
                <w:kern w:val="0"/>
                <w:sz w:val="21"/>
                <w:szCs w:val="21"/>
                <w:highlight w:val="none"/>
                <w:lang w:bidi="ar"/>
              </w:rPr>
            </w:pPr>
            <w:r>
              <w:rPr>
                <w:rFonts w:hint="eastAsia" w:cs="宋体"/>
                <w:color w:val="000000"/>
                <w:kern w:val="0"/>
                <w:sz w:val="21"/>
                <w:szCs w:val="21"/>
                <w:highlight w:val="none"/>
                <w:lang w:bidi="ar"/>
              </w:rPr>
              <w:t>20</w:t>
            </w:r>
          </w:p>
        </w:tc>
        <w:tc>
          <w:tcPr>
            <w:tcW w:w="4436" w:type="dxa"/>
            <w:noWrap w:val="0"/>
            <w:vAlign w:val="center"/>
          </w:tcPr>
          <w:p>
            <w:pPr>
              <w:pStyle w:val="8"/>
              <w:widowControl/>
              <w:ind w:firstLine="0" w:firstLineChars="0"/>
              <w:jc w:val="left"/>
              <w:rPr>
                <w:rFonts w:cs="宋体"/>
                <w:color w:val="000000"/>
                <w:kern w:val="0"/>
                <w:sz w:val="21"/>
                <w:szCs w:val="21"/>
                <w:highlight w:val="none"/>
                <w:lang w:bidi="ar"/>
              </w:rPr>
            </w:pPr>
            <w:r>
              <w:rPr>
                <w:rFonts w:hint="eastAsia" w:cs="宋体"/>
                <w:color w:val="000000"/>
                <w:kern w:val="0"/>
                <w:sz w:val="21"/>
                <w:szCs w:val="21"/>
                <w:highlight w:val="none"/>
                <w:lang w:bidi="ar"/>
              </w:rPr>
              <w:t>省级注册会计师协会发布的2020年全省会计师事务所综合评价中获得4A级及以上单位得20分，2020年获得3A级单位得10分，2020年获得2A级单位得5分。</w:t>
            </w:r>
          </w:p>
        </w:tc>
        <w:tc>
          <w:tcPr>
            <w:tcW w:w="2414" w:type="dxa"/>
            <w:noWrap w:val="0"/>
            <w:vAlign w:val="center"/>
          </w:tcPr>
          <w:p>
            <w:pPr>
              <w:pStyle w:val="8"/>
              <w:widowControl/>
              <w:ind w:firstLine="0" w:firstLineChars="0"/>
              <w:jc w:val="center"/>
              <w:rPr>
                <w:rFonts w:cs="宋体"/>
                <w:color w:val="000000"/>
                <w:kern w:val="0"/>
                <w:sz w:val="21"/>
                <w:szCs w:val="21"/>
                <w:highlight w:val="none"/>
                <w:lang w:bidi="ar"/>
              </w:rPr>
            </w:pPr>
            <w:r>
              <w:rPr>
                <w:rFonts w:hint="eastAsia" w:cs="宋体"/>
                <w:color w:val="000000"/>
                <w:kern w:val="0"/>
                <w:sz w:val="21"/>
                <w:szCs w:val="21"/>
                <w:highlight w:val="none"/>
                <w:lang w:bidi="ar"/>
              </w:rPr>
              <w:t>提供注协发布的文件（加盖公章）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pPr>
              <w:pStyle w:val="8"/>
              <w:widowControl/>
              <w:ind w:firstLine="0" w:firstLineChars="0"/>
              <w:jc w:val="center"/>
              <w:rPr>
                <w:sz w:val="22"/>
                <w:szCs w:val="22"/>
                <w:highlight w:val="none"/>
              </w:rPr>
            </w:pPr>
            <w:r>
              <w:rPr>
                <w:rFonts w:hint="eastAsia"/>
                <w:sz w:val="22"/>
                <w:szCs w:val="22"/>
                <w:highlight w:val="none"/>
              </w:rPr>
              <w:t>2</w:t>
            </w:r>
          </w:p>
        </w:tc>
        <w:tc>
          <w:tcPr>
            <w:tcW w:w="1107" w:type="dxa"/>
            <w:noWrap w:val="0"/>
            <w:vAlign w:val="center"/>
          </w:tcPr>
          <w:p>
            <w:pPr>
              <w:pStyle w:val="8"/>
              <w:widowControl/>
              <w:ind w:firstLine="0" w:firstLineChars="0"/>
              <w:jc w:val="center"/>
              <w:rPr>
                <w:rFonts w:cs="宋体"/>
                <w:color w:val="000000"/>
                <w:kern w:val="0"/>
                <w:sz w:val="21"/>
                <w:szCs w:val="21"/>
                <w:highlight w:val="none"/>
                <w:lang w:bidi="ar"/>
              </w:rPr>
            </w:pPr>
            <w:r>
              <w:rPr>
                <w:rFonts w:hint="eastAsia" w:cs="宋体"/>
                <w:color w:val="000000"/>
                <w:kern w:val="0"/>
                <w:sz w:val="21"/>
                <w:szCs w:val="21"/>
                <w:highlight w:val="none"/>
                <w:lang w:bidi="ar"/>
              </w:rPr>
              <w:t>注册会计师配备</w:t>
            </w:r>
          </w:p>
        </w:tc>
        <w:tc>
          <w:tcPr>
            <w:tcW w:w="721" w:type="dxa"/>
            <w:noWrap w:val="0"/>
            <w:vAlign w:val="center"/>
          </w:tcPr>
          <w:p>
            <w:pPr>
              <w:pStyle w:val="8"/>
              <w:widowControl/>
              <w:ind w:firstLine="0" w:firstLineChars="0"/>
              <w:jc w:val="center"/>
              <w:rPr>
                <w:rFonts w:cs="宋体"/>
                <w:color w:val="000000"/>
                <w:kern w:val="0"/>
                <w:sz w:val="21"/>
                <w:szCs w:val="21"/>
                <w:highlight w:val="none"/>
                <w:lang w:bidi="ar"/>
              </w:rPr>
            </w:pPr>
            <w:r>
              <w:rPr>
                <w:rFonts w:hint="eastAsia" w:cs="宋体"/>
                <w:color w:val="000000"/>
                <w:kern w:val="0"/>
                <w:sz w:val="21"/>
                <w:szCs w:val="21"/>
                <w:highlight w:val="none"/>
                <w:lang w:bidi="ar"/>
              </w:rPr>
              <w:t>20</w:t>
            </w:r>
          </w:p>
        </w:tc>
        <w:tc>
          <w:tcPr>
            <w:tcW w:w="4436" w:type="dxa"/>
            <w:noWrap w:val="0"/>
            <w:vAlign w:val="center"/>
          </w:tcPr>
          <w:p>
            <w:pPr>
              <w:pStyle w:val="8"/>
              <w:widowControl/>
              <w:ind w:firstLine="0" w:firstLineChars="0"/>
              <w:jc w:val="left"/>
              <w:rPr>
                <w:rFonts w:cs="宋体"/>
                <w:color w:val="000000"/>
                <w:kern w:val="0"/>
                <w:sz w:val="21"/>
                <w:szCs w:val="21"/>
                <w:highlight w:val="none"/>
                <w:lang w:bidi="ar"/>
              </w:rPr>
            </w:pPr>
            <w:r>
              <w:rPr>
                <w:rFonts w:hint="eastAsia" w:cs="宋体"/>
                <w:color w:val="000000"/>
                <w:kern w:val="0"/>
                <w:sz w:val="21"/>
                <w:szCs w:val="21"/>
                <w:highlight w:val="none"/>
                <w:lang w:bidi="ar"/>
              </w:rPr>
              <w:t>供应商拥有注册会计师15人及以上的，得20分，每少一人扣2分，扣完为止。</w:t>
            </w:r>
          </w:p>
        </w:tc>
        <w:tc>
          <w:tcPr>
            <w:tcW w:w="2414" w:type="dxa"/>
            <w:noWrap w:val="0"/>
            <w:vAlign w:val="center"/>
          </w:tcPr>
          <w:p>
            <w:pPr>
              <w:pStyle w:val="8"/>
              <w:widowControl/>
              <w:ind w:firstLine="0" w:firstLineChars="0"/>
              <w:jc w:val="center"/>
              <w:rPr>
                <w:rFonts w:cs="宋体"/>
                <w:color w:val="000000"/>
                <w:kern w:val="0"/>
                <w:sz w:val="21"/>
                <w:szCs w:val="21"/>
                <w:highlight w:val="none"/>
                <w:lang w:bidi="ar"/>
              </w:rPr>
            </w:pPr>
            <w:r>
              <w:rPr>
                <w:rFonts w:hint="eastAsia" w:cs="宋体"/>
                <w:color w:val="000000"/>
                <w:kern w:val="0"/>
                <w:sz w:val="21"/>
                <w:szCs w:val="21"/>
                <w:highlight w:val="none"/>
                <w:lang w:bidi="ar"/>
              </w:rPr>
              <w:t>提供注册会计师证书及供应商为其缴纳的</w:t>
            </w:r>
            <w:r>
              <w:rPr>
                <w:rFonts w:hint="eastAsia" w:cs="宋体"/>
                <w:color w:val="000000"/>
                <w:kern w:val="0"/>
                <w:sz w:val="21"/>
                <w:szCs w:val="21"/>
                <w:highlight w:val="none"/>
                <w:lang w:val="en-US" w:eastAsia="zh-CN" w:bidi="ar"/>
              </w:rPr>
              <w:t>近期</w:t>
            </w:r>
            <w:r>
              <w:rPr>
                <w:rFonts w:hint="eastAsia" w:cs="宋体"/>
                <w:color w:val="000000"/>
                <w:kern w:val="0"/>
                <w:sz w:val="21"/>
                <w:szCs w:val="21"/>
                <w:highlight w:val="none"/>
                <w:lang w:bidi="ar"/>
              </w:rPr>
              <w:t>社会保险缴费清单（加盖公章）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pPr>
              <w:pStyle w:val="8"/>
              <w:widowControl/>
              <w:ind w:firstLine="0" w:firstLineChars="0"/>
              <w:jc w:val="center"/>
              <w:rPr>
                <w:sz w:val="22"/>
                <w:szCs w:val="22"/>
                <w:highlight w:val="none"/>
              </w:rPr>
            </w:pPr>
            <w:r>
              <w:rPr>
                <w:rFonts w:hint="eastAsia"/>
                <w:sz w:val="22"/>
                <w:szCs w:val="22"/>
                <w:highlight w:val="none"/>
              </w:rPr>
              <w:t>3</w:t>
            </w:r>
          </w:p>
        </w:tc>
        <w:tc>
          <w:tcPr>
            <w:tcW w:w="1107" w:type="dxa"/>
            <w:noWrap w:val="0"/>
            <w:vAlign w:val="center"/>
          </w:tcPr>
          <w:p>
            <w:pPr>
              <w:pStyle w:val="8"/>
              <w:widowControl/>
              <w:ind w:firstLine="0" w:firstLineChars="0"/>
              <w:jc w:val="center"/>
              <w:rPr>
                <w:sz w:val="22"/>
                <w:szCs w:val="22"/>
                <w:highlight w:val="none"/>
              </w:rPr>
            </w:pPr>
            <w:r>
              <w:rPr>
                <w:rFonts w:hint="eastAsia"/>
                <w:sz w:val="22"/>
                <w:szCs w:val="22"/>
                <w:highlight w:val="none"/>
              </w:rPr>
              <w:t>项目团队人员配备</w:t>
            </w:r>
          </w:p>
        </w:tc>
        <w:tc>
          <w:tcPr>
            <w:tcW w:w="721" w:type="dxa"/>
            <w:noWrap w:val="0"/>
            <w:vAlign w:val="center"/>
          </w:tcPr>
          <w:p>
            <w:pPr>
              <w:pStyle w:val="8"/>
              <w:widowControl/>
              <w:ind w:firstLine="0" w:firstLineChars="0"/>
              <w:jc w:val="center"/>
              <w:rPr>
                <w:sz w:val="22"/>
                <w:szCs w:val="22"/>
                <w:highlight w:val="none"/>
              </w:rPr>
            </w:pPr>
            <w:r>
              <w:rPr>
                <w:rFonts w:hint="eastAsia"/>
                <w:sz w:val="22"/>
                <w:szCs w:val="22"/>
                <w:highlight w:val="none"/>
              </w:rPr>
              <w:t>16</w:t>
            </w:r>
          </w:p>
        </w:tc>
        <w:tc>
          <w:tcPr>
            <w:tcW w:w="4436" w:type="dxa"/>
            <w:noWrap w:val="0"/>
            <w:vAlign w:val="center"/>
          </w:tcPr>
          <w:p>
            <w:pPr>
              <w:pStyle w:val="8"/>
              <w:widowControl/>
              <w:ind w:firstLine="0" w:firstLineChars="0"/>
              <w:jc w:val="left"/>
              <w:rPr>
                <w:sz w:val="22"/>
                <w:szCs w:val="22"/>
                <w:highlight w:val="none"/>
              </w:rPr>
            </w:pPr>
            <w:r>
              <w:rPr>
                <w:rFonts w:hint="eastAsia"/>
                <w:sz w:val="22"/>
                <w:szCs w:val="22"/>
                <w:highlight w:val="none"/>
              </w:rPr>
              <w:t>投标人拟派的本项目负责人具有注册会计师执业资格且行业从业年限10年以上，得10分；行业从业年限5年以上，10年及以下，得5分；其他不得分。</w:t>
            </w:r>
          </w:p>
          <w:p>
            <w:pPr>
              <w:pStyle w:val="8"/>
              <w:widowControl/>
              <w:ind w:firstLine="0" w:firstLineChars="0"/>
              <w:jc w:val="left"/>
              <w:rPr>
                <w:sz w:val="22"/>
                <w:szCs w:val="22"/>
                <w:highlight w:val="none"/>
              </w:rPr>
            </w:pPr>
            <w:r>
              <w:rPr>
                <w:rFonts w:hint="eastAsia"/>
                <w:sz w:val="22"/>
                <w:szCs w:val="22"/>
                <w:highlight w:val="none"/>
              </w:rPr>
              <w:t>项目组其他成员，具备中级职称的，每人得2分，最高6分。</w:t>
            </w:r>
          </w:p>
        </w:tc>
        <w:tc>
          <w:tcPr>
            <w:tcW w:w="2414" w:type="dxa"/>
            <w:noWrap w:val="0"/>
            <w:vAlign w:val="center"/>
          </w:tcPr>
          <w:p>
            <w:pPr>
              <w:pStyle w:val="8"/>
              <w:widowControl/>
              <w:ind w:firstLine="0" w:firstLineChars="0"/>
              <w:jc w:val="center"/>
              <w:rPr>
                <w:sz w:val="22"/>
                <w:szCs w:val="22"/>
                <w:highlight w:val="none"/>
              </w:rPr>
            </w:pPr>
            <w:r>
              <w:rPr>
                <w:rFonts w:hint="eastAsia"/>
                <w:sz w:val="22"/>
                <w:szCs w:val="22"/>
                <w:highlight w:val="none"/>
              </w:rPr>
              <w:t>提供相关证书复印件（加盖公章）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pPr>
              <w:pStyle w:val="8"/>
              <w:widowControl/>
              <w:ind w:firstLine="0" w:firstLineChars="0"/>
              <w:jc w:val="center"/>
              <w:rPr>
                <w:sz w:val="22"/>
                <w:szCs w:val="22"/>
                <w:highlight w:val="none"/>
              </w:rPr>
            </w:pPr>
            <w:r>
              <w:rPr>
                <w:rFonts w:hint="eastAsia"/>
                <w:sz w:val="22"/>
                <w:szCs w:val="22"/>
                <w:highlight w:val="none"/>
              </w:rPr>
              <w:t>4</w:t>
            </w:r>
          </w:p>
        </w:tc>
        <w:tc>
          <w:tcPr>
            <w:tcW w:w="1107" w:type="dxa"/>
            <w:noWrap w:val="0"/>
            <w:vAlign w:val="center"/>
          </w:tcPr>
          <w:p>
            <w:pPr>
              <w:pStyle w:val="8"/>
              <w:widowControl/>
              <w:ind w:firstLine="0" w:firstLineChars="0"/>
              <w:jc w:val="center"/>
              <w:rPr>
                <w:sz w:val="22"/>
                <w:szCs w:val="22"/>
                <w:highlight w:val="none"/>
              </w:rPr>
            </w:pPr>
            <w:r>
              <w:rPr>
                <w:rFonts w:hint="eastAsia"/>
                <w:sz w:val="22"/>
                <w:szCs w:val="22"/>
                <w:highlight w:val="none"/>
              </w:rPr>
              <w:t>业绩</w:t>
            </w:r>
          </w:p>
        </w:tc>
        <w:tc>
          <w:tcPr>
            <w:tcW w:w="721" w:type="dxa"/>
            <w:noWrap w:val="0"/>
            <w:vAlign w:val="center"/>
          </w:tcPr>
          <w:p>
            <w:pPr>
              <w:pStyle w:val="8"/>
              <w:widowControl/>
              <w:ind w:firstLine="0" w:firstLineChars="0"/>
              <w:jc w:val="center"/>
              <w:rPr>
                <w:sz w:val="22"/>
                <w:szCs w:val="22"/>
                <w:highlight w:val="none"/>
              </w:rPr>
            </w:pPr>
            <w:r>
              <w:rPr>
                <w:rFonts w:hint="eastAsia"/>
                <w:sz w:val="22"/>
                <w:szCs w:val="22"/>
                <w:highlight w:val="none"/>
              </w:rPr>
              <w:t>14</w:t>
            </w:r>
          </w:p>
        </w:tc>
        <w:tc>
          <w:tcPr>
            <w:tcW w:w="4436" w:type="dxa"/>
            <w:noWrap w:val="0"/>
            <w:vAlign w:val="center"/>
          </w:tcPr>
          <w:p>
            <w:pPr>
              <w:pStyle w:val="8"/>
              <w:widowControl/>
              <w:ind w:firstLine="0" w:firstLineChars="0"/>
              <w:jc w:val="left"/>
              <w:rPr>
                <w:sz w:val="22"/>
                <w:szCs w:val="22"/>
                <w:highlight w:val="none"/>
              </w:rPr>
            </w:pPr>
            <w:r>
              <w:rPr>
                <w:rFonts w:hint="eastAsia"/>
                <w:sz w:val="22"/>
                <w:szCs w:val="22"/>
                <w:highlight w:val="none"/>
              </w:rPr>
              <w:t>2019年1月1日至今承办过国有企业清算审计项目每有一个得2分，本项满分14分</w:t>
            </w:r>
          </w:p>
        </w:tc>
        <w:tc>
          <w:tcPr>
            <w:tcW w:w="2414" w:type="dxa"/>
            <w:noWrap w:val="0"/>
            <w:vAlign w:val="center"/>
          </w:tcPr>
          <w:p>
            <w:pPr>
              <w:pStyle w:val="8"/>
              <w:widowControl/>
              <w:ind w:firstLine="0" w:firstLineChars="0"/>
              <w:jc w:val="center"/>
              <w:rPr>
                <w:sz w:val="22"/>
                <w:szCs w:val="22"/>
                <w:highlight w:val="none"/>
              </w:rPr>
            </w:pPr>
            <w:r>
              <w:rPr>
                <w:rFonts w:hint="eastAsia"/>
                <w:sz w:val="22"/>
                <w:szCs w:val="22"/>
                <w:highlight w:val="none"/>
              </w:rPr>
              <w:t>提供审计服务合同复印件加盖公章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noWrap w:val="0"/>
            <w:vAlign w:val="center"/>
          </w:tcPr>
          <w:p>
            <w:pPr>
              <w:pStyle w:val="8"/>
              <w:widowControl/>
              <w:ind w:firstLine="0" w:firstLineChars="0"/>
              <w:jc w:val="center"/>
              <w:rPr>
                <w:sz w:val="22"/>
                <w:szCs w:val="22"/>
                <w:highlight w:val="none"/>
              </w:rPr>
            </w:pPr>
            <w:r>
              <w:rPr>
                <w:rFonts w:hint="eastAsia"/>
                <w:sz w:val="22"/>
                <w:szCs w:val="22"/>
                <w:highlight w:val="none"/>
              </w:rPr>
              <w:t>5</w:t>
            </w:r>
          </w:p>
        </w:tc>
        <w:tc>
          <w:tcPr>
            <w:tcW w:w="1107" w:type="dxa"/>
            <w:noWrap w:val="0"/>
            <w:vAlign w:val="center"/>
          </w:tcPr>
          <w:p>
            <w:pPr>
              <w:pStyle w:val="8"/>
              <w:widowControl/>
              <w:ind w:firstLine="0" w:firstLineChars="0"/>
              <w:jc w:val="center"/>
              <w:rPr>
                <w:sz w:val="22"/>
                <w:szCs w:val="22"/>
                <w:highlight w:val="none"/>
              </w:rPr>
            </w:pPr>
            <w:r>
              <w:rPr>
                <w:rFonts w:hint="eastAsia"/>
                <w:sz w:val="22"/>
                <w:szCs w:val="22"/>
                <w:highlight w:val="none"/>
              </w:rPr>
              <w:t>服务方案</w:t>
            </w:r>
          </w:p>
        </w:tc>
        <w:tc>
          <w:tcPr>
            <w:tcW w:w="721" w:type="dxa"/>
            <w:noWrap w:val="0"/>
            <w:vAlign w:val="center"/>
          </w:tcPr>
          <w:p>
            <w:pPr>
              <w:pStyle w:val="8"/>
              <w:widowControl/>
              <w:ind w:firstLine="0" w:firstLineChars="0"/>
              <w:jc w:val="center"/>
              <w:rPr>
                <w:sz w:val="22"/>
                <w:szCs w:val="22"/>
                <w:highlight w:val="none"/>
              </w:rPr>
            </w:pPr>
            <w:r>
              <w:rPr>
                <w:rFonts w:hint="eastAsia"/>
                <w:sz w:val="22"/>
                <w:szCs w:val="22"/>
                <w:highlight w:val="none"/>
              </w:rPr>
              <w:t>10</w:t>
            </w:r>
          </w:p>
        </w:tc>
        <w:tc>
          <w:tcPr>
            <w:tcW w:w="4436" w:type="dxa"/>
            <w:noWrap w:val="0"/>
            <w:vAlign w:val="center"/>
          </w:tcPr>
          <w:p>
            <w:pPr>
              <w:pStyle w:val="8"/>
              <w:widowControl/>
              <w:ind w:firstLine="0" w:firstLineChars="0"/>
              <w:jc w:val="left"/>
              <w:rPr>
                <w:sz w:val="22"/>
                <w:szCs w:val="22"/>
                <w:highlight w:val="none"/>
              </w:rPr>
            </w:pPr>
            <w:r>
              <w:rPr>
                <w:rFonts w:hint="eastAsia"/>
                <w:sz w:val="22"/>
                <w:szCs w:val="22"/>
                <w:highlight w:val="none"/>
              </w:rPr>
              <w:t>本项目服务期紧凑，需成交供应商在服务过程中，服务便利且响应及时，投标人提供服务响应相关方案及佐证资料，评委横向对比打分，优秀10分-7分，良好6分-3分，</w:t>
            </w:r>
            <w:r>
              <w:rPr>
                <w:rFonts w:hint="eastAsia"/>
                <w:sz w:val="22"/>
                <w:szCs w:val="22"/>
                <w:highlight w:val="none"/>
                <w:lang w:val="en-US" w:eastAsia="zh-CN"/>
              </w:rPr>
              <w:t>一</w:t>
            </w:r>
            <w:r>
              <w:rPr>
                <w:rFonts w:hint="eastAsia"/>
                <w:sz w:val="22"/>
                <w:szCs w:val="22"/>
                <w:highlight w:val="none"/>
              </w:rPr>
              <w:t>般2分-1分。</w:t>
            </w:r>
          </w:p>
        </w:tc>
        <w:tc>
          <w:tcPr>
            <w:tcW w:w="2414" w:type="dxa"/>
            <w:noWrap w:val="0"/>
            <w:vAlign w:val="center"/>
          </w:tcPr>
          <w:p>
            <w:pPr>
              <w:pStyle w:val="8"/>
              <w:widowControl/>
              <w:ind w:firstLine="0" w:firstLineChars="0"/>
              <w:jc w:val="center"/>
              <w:rPr>
                <w:sz w:val="22"/>
                <w:szCs w:val="22"/>
                <w:highlight w:val="none"/>
              </w:rPr>
            </w:pPr>
            <w:r>
              <w:rPr>
                <w:rFonts w:hint="eastAsia"/>
                <w:sz w:val="22"/>
                <w:szCs w:val="22"/>
                <w:highlight w:val="none"/>
              </w:rPr>
              <w:t>只有服务响应方案没有证明材料的不得分。</w:t>
            </w:r>
          </w:p>
        </w:tc>
      </w:tr>
    </w:tbl>
    <w:p>
      <w:pPr>
        <w:snapToGrid w:val="0"/>
        <w:spacing w:line="500" w:lineRule="exact"/>
        <w:ind w:firstLine="361" w:firstLineChars="200"/>
        <w:rPr>
          <w:rFonts w:hint="eastAsia" w:hAnsi="宋体" w:cs="宋体"/>
          <w:b/>
          <w:bCs/>
          <w:sz w:val="18"/>
          <w:szCs w:val="18"/>
          <w:highlight w:val="none"/>
          <w:u w:val="single"/>
        </w:rPr>
      </w:pPr>
      <w:r>
        <w:rPr>
          <w:rFonts w:hint="eastAsia" w:hAnsi="宋体" w:cs="宋体"/>
          <w:b/>
          <w:bCs/>
          <w:sz w:val="18"/>
          <w:szCs w:val="18"/>
          <w:highlight w:val="none"/>
          <w:u w:val="single"/>
        </w:rPr>
        <w:t>注：本项目允许会计师事务所总所或分所参与</w:t>
      </w:r>
      <w:r>
        <w:rPr>
          <w:rFonts w:hint="eastAsia" w:hAnsi="宋体" w:cs="宋体"/>
          <w:b/>
          <w:bCs/>
          <w:sz w:val="18"/>
          <w:szCs w:val="18"/>
          <w:highlight w:val="none"/>
          <w:u w:val="single"/>
          <w:lang w:eastAsia="zh-CN"/>
        </w:rPr>
        <w:t>比选</w:t>
      </w:r>
      <w:r>
        <w:rPr>
          <w:rFonts w:hint="eastAsia" w:hAnsi="宋体" w:cs="宋体"/>
          <w:b/>
          <w:bCs/>
          <w:sz w:val="18"/>
          <w:szCs w:val="18"/>
          <w:highlight w:val="none"/>
          <w:u w:val="single"/>
        </w:rPr>
        <w:t>。若供应商为总所，</w:t>
      </w:r>
      <w:r>
        <w:rPr>
          <w:rFonts w:hint="eastAsia" w:hAnsi="宋体" w:cs="宋体"/>
          <w:b/>
          <w:bCs/>
          <w:sz w:val="18"/>
          <w:szCs w:val="18"/>
          <w:highlight w:val="none"/>
          <w:u w:val="single"/>
          <w:lang w:eastAsia="zh-CN"/>
        </w:rPr>
        <w:t>比选</w:t>
      </w:r>
      <w:r>
        <w:rPr>
          <w:rFonts w:hint="eastAsia" w:hAnsi="宋体" w:cs="宋体"/>
          <w:b/>
          <w:bCs/>
          <w:sz w:val="18"/>
          <w:szCs w:val="18"/>
          <w:highlight w:val="none"/>
          <w:u w:val="single"/>
        </w:rPr>
        <w:t>响应文件中的所有材料、业绩均须为总所所有，项目团队均须为总所人员，分所材料、业绩及人员将不予认可。若供应商为分所，</w:t>
      </w:r>
      <w:r>
        <w:rPr>
          <w:rFonts w:hint="eastAsia" w:hAnsi="宋体" w:cs="宋体"/>
          <w:b/>
          <w:bCs/>
          <w:sz w:val="18"/>
          <w:szCs w:val="18"/>
          <w:highlight w:val="none"/>
          <w:u w:val="single"/>
          <w:lang w:eastAsia="zh-CN"/>
        </w:rPr>
        <w:t>比选</w:t>
      </w:r>
      <w:r>
        <w:rPr>
          <w:rFonts w:hint="eastAsia" w:hAnsi="宋体" w:cs="宋体"/>
          <w:b/>
          <w:bCs/>
          <w:sz w:val="18"/>
          <w:szCs w:val="18"/>
          <w:highlight w:val="none"/>
          <w:u w:val="single"/>
        </w:rPr>
        <w:t>响应文件中的所有材料、业绩均须为分所所有，项目团队均须为分所人员，总所材料、业绩及人员将不予认可。</w:t>
      </w:r>
    </w:p>
    <w:p>
      <w:pPr>
        <w:snapToGrid w:val="0"/>
        <w:spacing w:line="360" w:lineRule="auto"/>
        <w:ind w:firstLine="484" w:firstLineChars="202"/>
        <w:outlineLvl w:val="2"/>
        <w:rPr>
          <w:rFonts w:hAnsi="宋体" w:cs="宋体"/>
          <w:sz w:val="24"/>
          <w:szCs w:val="24"/>
          <w:highlight w:val="none"/>
        </w:rPr>
      </w:pPr>
    </w:p>
    <w:p>
      <w:pPr>
        <w:numPr>
          <w:ilvl w:val="0"/>
          <w:numId w:val="3"/>
        </w:numPr>
        <w:snapToGrid w:val="0"/>
        <w:spacing w:line="360" w:lineRule="auto"/>
        <w:ind w:firstLine="484" w:firstLineChars="202"/>
        <w:outlineLvl w:val="2"/>
        <w:rPr>
          <w:rFonts w:hint="eastAsia" w:hAnsi="宋体" w:cs="宋体"/>
          <w:sz w:val="24"/>
          <w:szCs w:val="24"/>
          <w:highlight w:val="none"/>
        </w:rPr>
      </w:pPr>
      <w:r>
        <w:rPr>
          <w:rFonts w:hint="eastAsia" w:hAnsi="宋体" w:cs="宋体"/>
          <w:sz w:val="24"/>
          <w:szCs w:val="24"/>
          <w:highlight w:val="none"/>
        </w:rPr>
        <w:t>商务报价分：（20分）</w:t>
      </w:r>
    </w:p>
    <w:p>
      <w:pPr>
        <w:spacing w:line="480" w:lineRule="exact"/>
        <w:ind w:firstLine="480" w:firstLineChars="200"/>
        <w:rPr>
          <w:rFonts w:ascii="宋体" w:hAnsi="宋体" w:cs="宋体"/>
          <w:b/>
          <w:bCs/>
          <w:sz w:val="24"/>
          <w:szCs w:val="24"/>
          <w:highlight w:val="none"/>
        </w:rPr>
      </w:pPr>
      <w:r>
        <w:rPr>
          <w:rFonts w:hint="eastAsia" w:ascii="宋体" w:hAnsi="宋体" w:cs="宋体"/>
          <w:sz w:val="24"/>
          <w:szCs w:val="24"/>
          <w:highlight w:val="none"/>
        </w:rPr>
        <w:t>1.</w:t>
      </w:r>
      <w:r>
        <w:rPr>
          <w:rFonts w:hint="eastAsia" w:ascii="宋体" w:hAnsi="宋体" w:cs="宋体"/>
          <w:b/>
          <w:bCs/>
          <w:sz w:val="24"/>
          <w:szCs w:val="24"/>
          <w:highlight w:val="none"/>
        </w:rPr>
        <w:t>本次项目最高限价：</w:t>
      </w:r>
      <w:r>
        <w:rPr>
          <w:rFonts w:hint="eastAsia" w:ascii="宋体" w:hAnsi="宋体" w:cs="宋体"/>
          <w:b/>
          <w:bCs/>
          <w:sz w:val="24"/>
          <w:szCs w:val="24"/>
          <w:highlight w:val="none"/>
          <w:u w:val="single"/>
          <w:lang w:val="en-US" w:eastAsia="zh-CN"/>
        </w:rPr>
        <w:t>6.2万元</w:t>
      </w:r>
      <w:r>
        <w:rPr>
          <w:rFonts w:hint="eastAsia" w:ascii="宋体" w:hAnsi="宋体" w:cs="宋体"/>
          <w:b/>
          <w:bCs/>
          <w:sz w:val="24"/>
          <w:szCs w:val="24"/>
          <w:highlight w:val="none"/>
        </w:rPr>
        <w:t>；超过限价作无效标处理。</w:t>
      </w:r>
    </w:p>
    <w:p>
      <w:pPr>
        <w:snapToGrid w:val="0"/>
        <w:spacing w:line="480" w:lineRule="exact"/>
        <w:ind w:firstLine="480" w:firstLineChars="200"/>
        <w:rPr>
          <w:rFonts w:ascii="宋体" w:hAnsi="宋体" w:cs="宋体"/>
          <w:sz w:val="24"/>
          <w:szCs w:val="24"/>
          <w:highlight w:val="none"/>
        </w:rPr>
      </w:pPr>
      <w:r>
        <w:rPr>
          <w:rFonts w:hint="eastAsia" w:ascii="宋体" w:hAnsi="宋体" w:cs="宋体"/>
          <w:sz w:val="24"/>
          <w:szCs w:val="24"/>
          <w:highlight w:val="none"/>
        </w:rPr>
        <w:t>2.满足</w:t>
      </w:r>
      <w:r>
        <w:rPr>
          <w:rFonts w:hint="eastAsia" w:ascii="宋体" w:hAnsi="宋体" w:cs="宋体"/>
          <w:sz w:val="24"/>
          <w:szCs w:val="24"/>
          <w:highlight w:val="none"/>
          <w:lang w:eastAsia="zh-CN"/>
        </w:rPr>
        <w:t>比选</w:t>
      </w:r>
      <w:r>
        <w:rPr>
          <w:rFonts w:hint="eastAsia" w:ascii="宋体" w:hAnsi="宋体" w:cs="宋体"/>
          <w:sz w:val="24"/>
          <w:szCs w:val="24"/>
          <w:highlight w:val="none"/>
        </w:rPr>
        <w:t>文件要求且</w:t>
      </w:r>
      <w:r>
        <w:rPr>
          <w:rFonts w:hint="eastAsia" w:ascii="宋体" w:hAnsi="宋体" w:cs="宋体"/>
          <w:sz w:val="24"/>
          <w:szCs w:val="24"/>
          <w:highlight w:val="none"/>
          <w:lang w:val="en-US" w:eastAsia="zh-CN"/>
        </w:rPr>
        <w:t>最终报价</w:t>
      </w:r>
      <w:r>
        <w:rPr>
          <w:rFonts w:hint="eastAsia" w:ascii="宋体" w:hAnsi="宋体" w:cs="宋体"/>
          <w:sz w:val="24"/>
          <w:szCs w:val="24"/>
          <w:highlight w:val="none"/>
        </w:rPr>
        <w:t>最低的供应商的价格为</w:t>
      </w:r>
      <w:r>
        <w:rPr>
          <w:rFonts w:hint="eastAsia" w:ascii="宋体" w:hAnsi="宋体" w:cs="宋体"/>
          <w:sz w:val="24"/>
          <w:szCs w:val="24"/>
          <w:highlight w:val="none"/>
          <w:lang w:eastAsia="zh-CN"/>
        </w:rPr>
        <w:t>比选</w:t>
      </w:r>
      <w:r>
        <w:rPr>
          <w:rFonts w:hint="eastAsia" w:ascii="宋体" w:hAnsi="宋体" w:cs="宋体"/>
          <w:sz w:val="24"/>
          <w:szCs w:val="24"/>
          <w:highlight w:val="none"/>
        </w:rPr>
        <w:t>基准价，其商务报价分为满分。其他供应商的商务报价分统一按照下列公式计算：</w:t>
      </w:r>
    </w:p>
    <w:p>
      <w:pPr>
        <w:spacing w:line="48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商务报价分 =（</w:t>
      </w:r>
      <w:r>
        <w:rPr>
          <w:rFonts w:hint="eastAsia" w:ascii="宋体" w:hAnsi="宋体" w:cs="宋体"/>
          <w:sz w:val="24"/>
          <w:szCs w:val="24"/>
          <w:highlight w:val="none"/>
          <w:lang w:eastAsia="zh-CN"/>
        </w:rPr>
        <w:t>比选</w:t>
      </w:r>
      <w:r>
        <w:rPr>
          <w:rFonts w:hint="eastAsia" w:ascii="宋体" w:hAnsi="宋体" w:cs="宋体"/>
          <w:sz w:val="24"/>
          <w:szCs w:val="24"/>
          <w:highlight w:val="none"/>
        </w:rPr>
        <w:t>基准价/</w:t>
      </w:r>
      <w:r>
        <w:rPr>
          <w:rFonts w:hint="eastAsia" w:ascii="宋体" w:hAnsi="宋体" w:cs="宋体"/>
          <w:sz w:val="24"/>
          <w:szCs w:val="24"/>
          <w:highlight w:val="none"/>
          <w:lang w:val="en-US" w:eastAsia="zh-CN"/>
        </w:rPr>
        <w:t>最终比选报价</w:t>
      </w:r>
      <w:r>
        <w:rPr>
          <w:rFonts w:hint="eastAsia" w:ascii="宋体" w:hAnsi="宋体" w:cs="宋体"/>
          <w:sz w:val="24"/>
          <w:szCs w:val="24"/>
          <w:highlight w:val="none"/>
        </w:rPr>
        <w:t>）×20%×100</w:t>
      </w:r>
    </w:p>
    <w:p>
      <w:pPr>
        <w:numPr>
          <w:numId w:val="0"/>
        </w:num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C19C9"/>
    <w:multiLevelType w:val="singleLevel"/>
    <w:tmpl w:val="B8BC19C9"/>
    <w:lvl w:ilvl="0" w:tentative="0">
      <w:start w:val="2"/>
      <w:numFmt w:val="chineseCounting"/>
      <w:suff w:val="nothing"/>
      <w:lvlText w:val="（%1）"/>
      <w:lvlJc w:val="left"/>
      <w:rPr>
        <w:rFonts w:hint="eastAsia"/>
      </w:rPr>
    </w:lvl>
  </w:abstractNum>
  <w:abstractNum w:abstractNumId="1">
    <w:nsid w:val="3C5BA08B"/>
    <w:multiLevelType w:val="singleLevel"/>
    <w:tmpl w:val="3C5BA08B"/>
    <w:lvl w:ilvl="0" w:tentative="0">
      <w:start w:val="4"/>
      <w:numFmt w:val="chineseCounting"/>
      <w:suff w:val="nothing"/>
      <w:lvlText w:val="%1、"/>
      <w:lvlJc w:val="left"/>
      <w:rPr>
        <w:rFonts w:hint="eastAsia"/>
      </w:rPr>
    </w:lvl>
  </w:abstractNum>
  <w:abstractNum w:abstractNumId="2">
    <w:nsid w:val="45E30C67"/>
    <w:multiLevelType w:val="singleLevel"/>
    <w:tmpl w:val="45E30C67"/>
    <w:lvl w:ilvl="0" w:tentative="0">
      <w:start w:val="2"/>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C504F"/>
    <w:rsid w:val="01705C99"/>
    <w:rsid w:val="100828AD"/>
    <w:rsid w:val="167421DE"/>
    <w:rsid w:val="187675E6"/>
    <w:rsid w:val="1946255C"/>
    <w:rsid w:val="2418219D"/>
    <w:rsid w:val="266D1322"/>
    <w:rsid w:val="2A790643"/>
    <w:rsid w:val="32047E1A"/>
    <w:rsid w:val="36BD095F"/>
    <w:rsid w:val="37FF0092"/>
    <w:rsid w:val="51937B70"/>
    <w:rsid w:val="522C70F0"/>
    <w:rsid w:val="5C1C504F"/>
    <w:rsid w:val="6FE611FF"/>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1"/>
    <w:basedOn w:val="1"/>
    <w:qFormat/>
    <w:uiPriority w:val="0"/>
    <w:pPr>
      <w:spacing w:line="360" w:lineRule="auto"/>
      <w:ind w:firstLine="361"/>
    </w:pPr>
    <w:rPr>
      <w:rFonts w:ascii="宋体" w:hAnsi="宋体"/>
      <w:szCs w:val="24"/>
    </w:rPr>
  </w:style>
  <w:style w:type="paragraph" w:styleId="4">
    <w:name w:val="footer"/>
    <w:basedOn w:val="1"/>
    <w:uiPriority w:val="0"/>
    <w:pPr>
      <w:tabs>
        <w:tab w:val="center" w:pos="4153"/>
        <w:tab w:val="right" w:pos="8306"/>
      </w:tabs>
      <w:snapToGrid w:val="0"/>
      <w:jc w:val="left"/>
    </w:pPr>
    <w:rPr>
      <w:kern w:val="0"/>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报告正文"/>
    <w:qFormat/>
    <w:uiPriority w:val="0"/>
    <w:pPr>
      <w:spacing w:line="440" w:lineRule="exact"/>
      <w:ind w:firstLine="480" w:firstLineChars="200"/>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2022-11-29T05:07:00Z</dcterms:created>
  <dc:creator>L</dc:creator>
  <cp:lastModifiedBy>L</cp:lastModifiedBy>
  <dcterms:modified xsi:type="dcterms:W3CDTF">2022-11-29T05:07:57Z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661B80A11F824F648156BE752CA565AE</vt:lpwstr>
  </property>
</Properties>
</file>