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asciiTheme="majorEastAsia" w:hAnsiTheme="majorEastAsia" w:eastAsiaTheme="majorEastAsia"/>
          <w:bCs/>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asciiTheme="majorEastAsia" w:hAnsiTheme="majorEastAsia" w:eastAsiaTheme="majorEastAsia"/>
          <w:bCs/>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宋体" w:hAnsi="宋体" w:cs="宋体"/>
          <w:bCs/>
          <w:sz w:val="44"/>
          <w:szCs w:val="44"/>
        </w:rPr>
      </w:pPr>
      <w:r>
        <w:rPr>
          <w:rFonts w:hint="eastAsia" w:ascii="宋体" w:hAnsi="宋体" w:cs="宋体"/>
          <w:bCs/>
          <w:sz w:val="44"/>
          <w:szCs w:val="44"/>
        </w:rPr>
        <w:t>202</w:t>
      </w:r>
      <w:r>
        <w:rPr>
          <w:rFonts w:hint="eastAsia" w:ascii="宋体" w:hAnsi="宋体" w:cs="宋体"/>
          <w:bCs/>
          <w:sz w:val="44"/>
          <w:szCs w:val="44"/>
          <w:lang w:val="en-US" w:eastAsia="zh-CN"/>
        </w:rPr>
        <w:t>3</w:t>
      </w:r>
      <w:r>
        <w:rPr>
          <w:rFonts w:hint="eastAsia" w:ascii="宋体" w:hAnsi="宋体" w:cs="宋体"/>
          <w:bCs/>
          <w:sz w:val="44"/>
          <w:szCs w:val="44"/>
        </w:rPr>
        <w:t>年度</w:t>
      </w:r>
      <w:r>
        <w:rPr>
          <w:rFonts w:hint="eastAsia" w:ascii="宋体" w:hAnsi="宋体" w:cs="宋体"/>
          <w:bCs/>
          <w:sz w:val="44"/>
          <w:szCs w:val="44"/>
          <w:lang w:val="en-US" w:eastAsia="zh-CN"/>
        </w:rPr>
        <w:t>通州</w:t>
      </w:r>
      <w:r>
        <w:rPr>
          <w:rFonts w:hint="eastAsia" w:ascii="宋体" w:hAnsi="宋体" w:cs="宋体"/>
          <w:bCs/>
          <w:sz w:val="44"/>
          <w:szCs w:val="44"/>
        </w:rPr>
        <w:t>区</w:t>
      </w:r>
      <w:r>
        <w:rPr>
          <w:rFonts w:hint="eastAsia" w:ascii="宋体" w:hAnsi="宋体" w:cs="宋体"/>
          <w:bCs/>
          <w:sz w:val="44"/>
          <w:szCs w:val="44"/>
          <w:lang w:eastAsia="zh-CN"/>
        </w:rPr>
        <w:t>废旧地膜</w:t>
      </w:r>
      <w:r>
        <w:rPr>
          <w:rFonts w:hint="eastAsia" w:ascii="宋体" w:hAnsi="宋体" w:cs="宋体"/>
          <w:bCs/>
          <w:sz w:val="44"/>
          <w:szCs w:val="44"/>
        </w:rPr>
        <w:t>处置服务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ascii="宋体"/>
          <w:bCs/>
          <w:sz w:val="44"/>
          <w:szCs w:val="44"/>
        </w:rPr>
      </w:pPr>
      <w:r>
        <w:rPr>
          <w:rFonts w:hint="eastAsia" w:ascii="宋体" w:hAnsi="宋体" w:cs="宋体"/>
          <w:bCs/>
          <w:sz w:val="44"/>
          <w:szCs w:val="44"/>
        </w:rPr>
        <w:t>公开招标项目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60" w:firstLineChars="200"/>
        <w:textAlignment w:val="auto"/>
        <w:rPr>
          <w:rFonts w:asciiTheme="majorEastAsia" w:hAnsiTheme="majorEastAsia" w:eastAsiaTheme="majorEastAsia"/>
          <w:color w:val="0D0D0D" w:themeColor="text1" w:themeTint="F2"/>
          <w:sz w:val="13"/>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rPr>
          <w:rFonts w:asciiTheme="majorEastAsia" w:hAnsiTheme="majorEastAsia" w:eastAsiaTheme="majorEastAsia"/>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80" w:firstLineChars="200"/>
        <w:jc w:val="center"/>
        <w:textAlignment w:val="auto"/>
        <w:rPr>
          <w:rFonts w:asciiTheme="majorEastAsia" w:hAnsiTheme="majorEastAsia" w:eastAsiaTheme="majorEastAsia"/>
          <w:color w:val="0D0D0D" w:themeColor="text1" w:themeTint="F2"/>
          <w:sz w:val="8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80" w:firstLineChars="200"/>
        <w:jc w:val="center"/>
        <w:textAlignment w:val="auto"/>
        <w:rPr>
          <w:rFonts w:asciiTheme="majorEastAsia" w:hAnsiTheme="majorEastAsia" w:eastAsiaTheme="majorEastAsia"/>
          <w:color w:val="0D0D0D" w:themeColor="text1" w:themeTint="F2"/>
          <w:sz w:val="8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1680" w:firstLineChars="200"/>
        <w:jc w:val="center"/>
        <w:textAlignment w:val="auto"/>
        <w:rPr>
          <w:rFonts w:asciiTheme="majorEastAsia" w:hAnsiTheme="majorEastAsia" w:eastAsiaTheme="majorEastAsia"/>
          <w:color w:val="0D0D0D" w:themeColor="text1" w:themeTint="F2"/>
          <w:sz w:val="8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right="0" w:rightChars="0"/>
        <w:jc w:val="center"/>
        <w:textAlignment w:val="auto"/>
        <w:rPr>
          <w:rFonts w:hint="eastAsia" w:asciiTheme="majorEastAsia" w:hAnsiTheme="majorEastAsia" w:eastAsiaTheme="majorEastAsia"/>
          <w:color w:val="0D0D0D" w:themeColor="text1" w:themeTint="F2"/>
          <w:sz w:val="84"/>
          <w:lang w:eastAsia="zh-CN"/>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84"/>
          <w14:textFill>
            <w14:solidFill>
              <w14:schemeClr w14:val="tx1">
                <w14:lumMod w14:val="95000"/>
                <w14:lumOff w14:val="5000"/>
              </w14:schemeClr>
            </w14:solidFill>
          </w14:textFill>
        </w:rPr>
        <w:t>招标文件</w:t>
      </w:r>
      <w:r>
        <w:rPr>
          <w:rFonts w:hint="eastAsia" w:asciiTheme="majorEastAsia" w:hAnsiTheme="majorEastAsia" w:eastAsiaTheme="majorEastAsia"/>
          <w:color w:val="0D0D0D" w:themeColor="text1" w:themeTint="F2"/>
          <w:sz w:val="30"/>
          <w:szCs w:val="30"/>
          <w:lang w:eastAsia="zh-CN"/>
          <w14:textFill>
            <w14:solidFill>
              <w14:schemeClr w14:val="tx1">
                <w14:lumMod w14:val="95000"/>
                <w14:lumOff w14:val="5000"/>
              </w14:schemeClr>
            </w14:solidFill>
          </w14:textFill>
        </w:rPr>
        <w:t>（第二次）</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Theme="majorEastAsia" w:hAnsiTheme="majorEastAsia" w:eastAsiaTheme="majorEastAsia"/>
          <w:color w:val="0D0D0D" w:themeColor="text1" w:themeTint="F2"/>
          <w:sz w:val="3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32"/>
          <w14:textFill>
            <w14:solidFill>
              <w14:schemeClr w14:val="tx1">
                <w14:lumMod w14:val="95000"/>
                <w14:lumOff w14:val="5000"/>
              </w14:schemeClr>
            </w14:solidFill>
          </w14:textFill>
        </w:rPr>
        <w:t>（资格后审）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采购人：南通市通州区供销合作总社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202</w:t>
      </w:r>
      <w:r>
        <w:rPr>
          <w:rFonts w:hint="eastAsia" w:asciiTheme="majorEastAsia" w:hAnsiTheme="majorEastAsia" w:eastAsiaTheme="majorEastAsia"/>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年</w:t>
      </w:r>
      <w:r>
        <w:rPr>
          <w:rFonts w:hint="eastAsia" w:asciiTheme="majorEastAsia" w:hAnsiTheme="majorEastAsia" w:eastAsiaTheme="majorEastAsia"/>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月</w:t>
      </w:r>
      <w:r>
        <w:rPr>
          <w:rFonts w:hint="eastAsia" w:asciiTheme="majorEastAsia" w:hAnsiTheme="majorEastAsia" w:eastAsiaTheme="majorEastAsia"/>
          <w:color w:val="0D0D0D" w:themeColor="text1" w:themeTint="F2"/>
          <w:sz w:val="32"/>
          <w:szCs w:val="32"/>
          <w:lang w:val="en-US" w:eastAsia="zh-CN"/>
          <w14:textFill>
            <w14:solidFill>
              <w14:schemeClr w14:val="tx1">
                <w14:lumMod w14:val="95000"/>
                <w14:lumOff w14:val="5000"/>
              </w14:schemeClr>
            </w14:solidFill>
          </w14:textFill>
        </w:rPr>
        <w:t>27</w:t>
      </w: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日</w:t>
      </w:r>
    </w:p>
    <w:p>
      <w:pPr>
        <w:pageBreakBefore w:val="0"/>
        <w:bidi w:val="0"/>
        <w:spacing w:line="400" w:lineRule="exact"/>
        <w:ind w:left="0" w:leftChars="0" w:right="0" w:rightChars="0" w:firstLine="420" w:firstLineChars="200"/>
        <w:jc w:val="center"/>
        <w:rPr>
          <w:rFonts w:hint="eastAsia" w:asciiTheme="majorEastAsia" w:hAnsiTheme="majorEastAsia" w:eastAsiaTheme="majorEastAsia"/>
          <w:color w:val="0D0D0D" w:themeColor="text1" w:themeTint="F2"/>
          <w:lang w:eastAsia="zh-CN"/>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14:textFill>
            <w14:solidFill>
              <w14:schemeClr w14:val="tx1">
                <w14:lumMod w14:val="95000"/>
                <w14:lumOff w14:val="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2353310</wp:posOffset>
                </wp:positionH>
                <wp:positionV relativeFrom="paragraph">
                  <wp:posOffset>1234440</wp:posOffset>
                </wp:positionV>
                <wp:extent cx="581025" cy="390525"/>
                <wp:effectExtent l="0" t="0" r="9525" b="9525"/>
                <wp:wrapNone/>
                <wp:docPr id="1" name="矩形 2"/>
                <wp:cNvGraphicFramePr/>
                <a:graphic xmlns:a="http://schemas.openxmlformats.org/drawingml/2006/main">
                  <a:graphicData uri="http://schemas.microsoft.com/office/word/2010/wordprocessingShape">
                    <wps:wsp>
                      <wps:cNvSpPr/>
                      <wps:spPr>
                        <a:xfrm>
                          <a:off x="0" y="0"/>
                          <a:ext cx="581025" cy="390525"/>
                        </a:xfrm>
                        <a:prstGeom prst="rect">
                          <a:avLst/>
                        </a:prstGeom>
                        <a:solidFill>
                          <a:srgbClr val="FFFFFF"/>
                        </a:solidFill>
                        <a:ln>
                          <a:noFill/>
                        </a:ln>
                        <a:effectLst/>
                      </wps:spPr>
                      <wps:txbx>
                        <w:txbxContent>
                          <w:p/>
                        </w:txbxContent>
                      </wps:txbx>
                      <wps:bodyPr upright="1"/>
                    </wps:wsp>
                  </a:graphicData>
                </a:graphic>
              </wp:anchor>
            </w:drawing>
          </mc:Choice>
          <mc:Fallback>
            <w:pict>
              <v:rect id="矩形 2" o:spid="_x0000_s1026" o:spt="1" style="position:absolute;left:0pt;margin-left:185.3pt;margin-top:97.2pt;height:30.75pt;width:45.75pt;z-index:251660288;mso-width-relative:page;mso-height-relative:page;" fillcolor="#FFFFFF" filled="t" stroked="f" coordsize="21600,21600" o:gfxdata="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4utbZAAAACwEAAA8AAAAAAAAAAQAgAAAAIgAAAGRycy9kb3ducmV2LnhtbFBLAQIU&#10;ABQAAAAIAIdO4kByjwhduQEAAHcDAAAOAAAAAAAAAAEAIAAAACgBAABkcnMvZTJvRG9jLnhtbFBL&#10;BQYAAAAABgAGAFkBAABTBQAAAAA=&#10;">
                <v:fill on="t" focussize="0,0"/>
                <v:stroke on="f"/>
                <v:imagedata o:title=""/>
                <o:lock v:ext="edit" aspectratio="f"/>
                <v:textbox>
                  <w:txbxContent>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Theme="majorEastAsia" w:hAnsiTheme="majorEastAsia" w:eastAsiaTheme="majorEastAsia"/>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heme="majorEastAsia" w:hAnsiTheme="majorEastAsia" w:eastAsiaTheme="majorEastAsia"/>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Theme="majorEastAsia" w:hAnsiTheme="majorEastAsia" w:eastAsiaTheme="majorEastAsia"/>
          <w:color w:val="0D0D0D" w:themeColor="text1" w:themeTint="F2"/>
          <w:sz w:val="44"/>
          <w:szCs w:val="44"/>
          <w14:textFill>
            <w14:solidFill>
              <w14:schemeClr w14:val="tx1">
                <w14:lumMod w14:val="95000"/>
                <w14:lumOff w14:val="5000"/>
              </w14:schemeClr>
            </w14:solidFill>
          </w14:textFill>
        </w:rPr>
        <w:sectPr>
          <w:headerReference r:id="rId3" w:type="default"/>
          <w:footerReference r:id="rId4" w:type="default"/>
          <w:footerReference r:id="rId5" w:type="even"/>
          <w:pgSz w:w="11906" w:h="16838"/>
          <w:pgMar w:top="1418" w:right="1588" w:bottom="1418" w:left="1365" w:header="851" w:footer="907" w:gutter="0"/>
          <w:pgNumType w:fmt="decimalFullWidth" w:start="0"/>
          <w:cols w:space="720" w:num="1"/>
          <w:titlePg/>
          <w:docGrid w:type="lines" w:linePitch="290" w:charSpace="0"/>
        </w:sectPr>
      </w:pPr>
    </w:p>
    <w:p>
      <w:pPr>
        <w:pageBreakBefore w:val="0"/>
        <w:bidi w:val="0"/>
        <w:spacing w:line="400" w:lineRule="exact"/>
        <w:ind w:left="0" w:leftChars="0" w:right="0" w:rightChars="0" w:firstLine="880" w:firstLineChars="200"/>
        <w:jc w:val="center"/>
        <w:rPr>
          <w:rFonts w:hint="eastAsia" w:asciiTheme="majorEastAsia" w:hAnsiTheme="majorEastAsia" w:eastAsiaTheme="majorEastAsia"/>
          <w:color w:val="000000" w:themeColor="text1"/>
          <w:sz w:val="44"/>
          <w:szCs w:val="44"/>
          <w:highlight w:val="none"/>
          <w14:textFill>
            <w14:solidFill>
              <w14:schemeClr w14:val="tx1"/>
            </w14:solidFill>
          </w14:textFill>
        </w:rPr>
      </w:pPr>
      <w:bookmarkStart w:id="0" w:name="_Toc120614210"/>
      <w:bookmarkStart w:id="1" w:name="_Toc20823272"/>
      <w:bookmarkStart w:id="2" w:name="_Toc523127445"/>
      <w:bookmarkStart w:id="3" w:name="_Toc16938516"/>
      <w:bookmarkStart w:id="4" w:name="_Toc479757206"/>
      <w:bookmarkStart w:id="5" w:name="_Toc51302920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asciiTheme="majorEastAsia" w:hAnsiTheme="majorEastAsia" w:eastAsia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olor w:val="000000" w:themeColor="text1"/>
          <w:sz w:val="44"/>
          <w:szCs w:val="44"/>
          <w:highlight w:val="none"/>
          <w14:textFill>
            <w14:solidFill>
              <w14:schemeClr w14:val="tx1"/>
            </w14:solidFill>
          </w14:textFill>
        </w:rPr>
        <w:t>第一章  招标公告</w:t>
      </w:r>
    </w:p>
    <w:bookmarkEnd w:id="0"/>
    <w:p>
      <w:pPr>
        <w:pageBreakBefore w:val="0"/>
        <w:bidi w:val="0"/>
        <w:spacing w:line="400" w:lineRule="exact"/>
        <w:ind w:left="0" w:leftChars="0" w:right="0" w:rightChars="0"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bookmarkStart w:id="6" w:name="OLE_LINK1"/>
      <w:bookmarkStart w:id="7" w:name="_Toc120614211"/>
    </w:p>
    <w:p>
      <w:pPr>
        <w:pageBreakBefore w:val="0"/>
        <w:bidi w:val="0"/>
        <w:spacing w:line="400" w:lineRule="exact"/>
        <w:ind w:left="0" w:leftChars="0" w:right="0" w:rightChars="0"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 w:hAnsi="??" w:cs="宋体"/>
          <w:bCs/>
          <w:color w:val="000000" w:themeColor="text1"/>
          <w:kern w:val="0"/>
          <w:sz w:val="24"/>
          <w:szCs w:val="24"/>
          <w:highlight w:val="none"/>
          <w14:textFill>
            <w14:solidFill>
              <w14:schemeClr w14:val="tx1"/>
            </w14:solidFill>
          </w14:textFill>
        </w:rPr>
        <w:t>南通市通州区供销合作总社</w:t>
      </w:r>
      <w:r>
        <w:rPr>
          <w:rFonts w:hint="eastAsia" w:asciiTheme="minorEastAsia" w:hAnsiTheme="minorEastAsia" w:eastAsiaTheme="minorEastAsia"/>
          <w:color w:val="000000" w:themeColor="text1"/>
          <w:sz w:val="24"/>
          <w:szCs w:val="24"/>
          <w:highlight w:val="none"/>
          <w14:textFill>
            <w14:solidFill>
              <w14:schemeClr w14:val="tx1"/>
            </w14:solidFill>
          </w14:textFill>
        </w:rPr>
        <w:t>就</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202</w:t>
      </w:r>
      <w:r>
        <w:rPr>
          <w:rFonts w:hint="eastAsia" w:ascii="宋体" w:hAnsi="宋体" w:cs="宋体"/>
          <w:bCs/>
          <w:color w:val="000000" w:themeColor="text1"/>
          <w:sz w:val="24"/>
          <w:szCs w:val="24"/>
          <w:highlight w:val="none"/>
          <w:u w:val="single"/>
          <w:shd w:val="clear" w:color="auto" w:fill="FFFFFF"/>
          <w:lang w:val="en-US" w:eastAsia="zh-CN"/>
          <w14:textFill>
            <w14:solidFill>
              <w14:schemeClr w14:val="tx1"/>
            </w14:solidFill>
          </w14:textFill>
        </w:rPr>
        <w:t>3</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年度通州区废</w:t>
      </w:r>
      <w:r>
        <w:rPr>
          <w:rFonts w:hint="eastAsia" w:ascii="宋体" w:hAnsi="宋体" w:cs="宋体"/>
          <w:bCs/>
          <w:color w:val="000000" w:themeColor="text1"/>
          <w:sz w:val="24"/>
          <w:szCs w:val="24"/>
          <w:highlight w:val="none"/>
          <w:u w:val="single"/>
          <w:shd w:val="clear" w:color="auto" w:fill="FFFFFF"/>
          <w:lang w:eastAsia="zh-CN"/>
          <w14:textFill>
            <w14:solidFill>
              <w14:schemeClr w14:val="tx1"/>
            </w14:solidFill>
          </w14:textFill>
        </w:rPr>
        <w:t>旧地膜</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处置服务</w:t>
      </w:r>
      <w:r>
        <w:rPr>
          <w:rFonts w:hint="eastAsia" w:asciiTheme="minorEastAsia" w:hAnsiTheme="minorEastAsia" w:eastAsiaTheme="minorEastAsia"/>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])项目进行公开招标采购，欢迎符合条件的供应商投标。</w:t>
      </w:r>
    </w:p>
    <w:p>
      <w:pPr>
        <w:pStyle w:val="23"/>
      </w:pPr>
    </w:p>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8" w:name="_Toc35393790"/>
      <w:bookmarkStart w:id="9" w:name="_Toc28359002"/>
      <w:bookmarkStart w:id="10" w:name="_Toc35393621"/>
      <w:bookmarkStart w:id="11" w:name="_Toc28359079"/>
      <w:bookmarkStart w:id="12" w:name="_Toc38985263"/>
      <w:bookmarkStart w:id="13" w:name="_Hlk24379207"/>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一、项目基本情况</w:t>
      </w:r>
      <w:bookmarkEnd w:id="8"/>
      <w:bookmarkEnd w:id="9"/>
      <w:bookmarkEnd w:id="10"/>
      <w:bookmarkEnd w:id="11"/>
      <w:bookmarkEnd w:id="12"/>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1.项目名称：</w:t>
      </w:r>
      <w:bookmarkEnd w:id="13"/>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202</w:t>
      </w:r>
      <w:r>
        <w:rPr>
          <w:rFonts w:hint="eastAsia" w:ascii="宋体" w:hAnsi="宋体" w:cs="宋体"/>
          <w:bCs/>
          <w:color w:val="000000" w:themeColor="text1"/>
          <w:sz w:val="24"/>
          <w:szCs w:val="24"/>
          <w:highlight w:val="none"/>
          <w:u w:val="single"/>
          <w:shd w:val="clear" w:color="auto" w:fill="FFFFFF"/>
          <w:lang w:val="en-US" w:eastAsia="zh-CN"/>
          <w14:textFill>
            <w14:solidFill>
              <w14:schemeClr w14:val="tx1"/>
            </w14:solidFill>
          </w14:textFill>
        </w:rPr>
        <w:t>3</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年度通州区废</w:t>
      </w:r>
      <w:r>
        <w:rPr>
          <w:rFonts w:hint="eastAsia" w:ascii="宋体" w:hAnsi="宋体" w:cs="宋体"/>
          <w:bCs/>
          <w:color w:val="000000" w:themeColor="text1"/>
          <w:sz w:val="24"/>
          <w:szCs w:val="24"/>
          <w:highlight w:val="none"/>
          <w:u w:val="single"/>
          <w:shd w:val="clear" w:color="auto" w:fill="FFFFFF"/>
          <w:lang w:eastAsia="zh-CN"/>
          <w14:textFill>
            <w14:solidFill>
              <w14:schemeClr w14:val="tx1"/>
            </w14:solidFill>
          </w14:textFill>
        </w:rPr>
        <w:t>旧地膜</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处置服务公开招标项目</w:t>
      </w:r>
    </w:p>
    <w:p>
      <w:pPr>
        <w:pageBreakBefore w:val="0"/>
        <w:bidi w:val="0"/>
        <w:spacing w:line="400" w:lineRule="exact"/>
        <w:ind w:left="0" w:leftChars="0" w:right="0" w:rightChars="0" w:firstLine="480" w:firstLineChars="200"/>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2.项目编码：</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3.预算金额：人民币</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13.8</w:t>
      </w:r>
      <w:r>
        <w:rPr>
          <w:rFonts w:hint="eastAsia" w:asciiTheme="minorEastAsia" w:hAnsiTheme="minorEastAsia" w:eastAsiaTheme="minorEastAsia"/>
          <w:color w:val="000000" w:themeColor="text1"/>
          <w:sz w:val="24"/>
          <w:szCs w:val="24"/>
          <w:highlight w:val="none"/>
          <w14:textFill>
            <w14:solidFill>
              <w14:schemeClr w14:val="tx1"/>
            </w14:solidFill>
          </w14:textFill>
        </w:rPr>
        <w:t>万元</w:t>
      </w:r>
    </w:p>
    <w:p>
      <w:pPr>
        <w:pageBreakBefore w:val="0"/>
        <w:bidi w:val="0"/>
        <w:spacing w:line="400" w:lineRule="exact"/>
        <w:ind w:left="0" w:leftChars="0" w:right="0" w:rightChars="0" w:firstLine="480" w:firstLineChars="200"/>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4.本项目</w:t>
      </w:r>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设定</w:t>
      </w:r>
      <w:r>
        <w:rPr>
          <w:rFonts w:hint="eastAsia" w:asciiTheme="minorEastAsia" w:hAnsiTheme="minorEastAsia" w:eastAsiaTheme="minorEastAsia"/>
          <w:color w:val="000000" w:themeColor="text1"/>
          <w:sz w:val="24"/>
          <w:szCs w:val="24"/>
          <w:highlight w:val="none"/>
          <w14:textFill>
            <w14:solidFill>
              <w14:schemeClr w14:val="tx1"/>
            </w14:solidFill>
          </w14:textFill>
        </w:rPr>
        <w:t>（设定/不设定）最高限价，最高限价为人民币</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460元/吨</w:t>
      </w:r>
    </w:p>
    <w:p>
      <w:pPr>
        <w:pageBreakBefore w:val="0"/>
        <w:bidi w:val="0"/>
        <w:spacing w:line="400" w:lineRule="exact"/>
        <w:ind w:left="0" w:leftChars="0" w:right="0" w:rightChars="0" w:firstLine="480" w:firstLineChars="200"/>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5.采购需求：</w:t>
      </w:r>
      <w:bookmarkStart w:id="14" w:name="_Toc28359080"/>
      <w:bookmarkStart w:id="15" w:name="_Toc35393791"/>
      <w:bookmarkStart w:id="16" w:name="_Toc35393622"/>
      <w:bookmarkStart w:id="17" w:name="_Toc38985264"/>
      <w:bookmarkStart w:id="18" w:name="_Toc28359003"/>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通州区废旧地膜约300吨。</w:t>
      </w:r>
    </w:p>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二、申请人的资格要求：</w:t>
      </w:r>
      <w:bookmarkEnd w:id="14"/>
      <w:bookmarkEnd w:id="15"/>
      <w:bookmarkEnd w:id="16"/>
      <w:bookmarkEnd w:id="17"/>
      <w:bookmarkEnd w:id="18"/>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bookmarkStart w:id="19" w:name="_Toc35393623"/>
      <w:bookmarkStart w:id="20" w:name="_Toc38985265"/>
      <w:bookmarkStart w:id="21" w:name="_Toc28359004"/>
      <w:bookmarkStart w:id="22" w:name="_Toc28359081"/>
      <w:bookmarkStart w:id="23" w:name="_Toc35393792"/>
      <w:r>
        <w:rPr>
          <w:rFonts w:hint="eastAsia" w:asciiTheme="minorEastAsia" w:hAnsiTheme="minorEastAsia" w:eastAsiaTheme="minorEastAsia"/>
          <w:color w:val="000000" w:themeColor="text1"/>
          <w:sz w:val="24"/>
          <w:szCs w:val="24"/>
          <w:highlight w:val="none"/>
          <w14:textFill>
            <w14:solidFill>
              <w14:schemeClr w14:val="tx1"/>
            </w14:solidFill>
          </w14:textFill>
        </w:rPr>
        <w:t>1.满足《中华人民共和国政府采购法》第二十二条规定，并提供下列材料：</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1.1 法人或者其他组织的营业执照等证明文件，自然人的身份证明；</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1.2上一年度的财务状况报告（成立不满一年不需提供）；</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1.4具备履行合同所必需的设备和专业技术能力的证明材料；</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1.5参加政府采购活动前3年内在经营活动中没有重大违法记录的书面声明；</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1.6未被“信用中国”网站（www.creditchina.gov.cn）列入失信被执行人、重大税收违法案件当事人名单、政府采购严重失信行为记录名单。</w:t>
      </w:r>
    </w:p>
    <w:p>
      <w:pPr>
        <w:pageBreakBefore w:val="0"/>
        <w:bidi w:val="0"/>
        <w:spacing w:line="400" w:lineRule="exact"/>
        <w:ind w:left="0" w:leftChars="0" w:right="0" w:rightChars="0" w:firstLine="480" w:firstLineChars="200"/>
        <w:rPr>
          <w:color w:val="000000" w:themeColor="text1"/>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w:t>
      </w:r>
      <w:r>
        <w:rPr>
          <w:rFonts w:ascii="宋体" w:hAnsi="宋体" w:cs="宋体"/>
          <w:bCs/>
          <w:color w:val="000000" w:themeColor="text1"/>
          <w:kern w:val="0"/>
          <w:sz w:val="24"/>
          <w:szCs w:val="24"/>
          <w:highlight w:val="none"/>
          <w14:textFill>
            <w14:solidFill>
              <w14:schemeClr w14:val="tx1"/>
            </w14:solidFill>
          </w14:textFill>
        </w:rPr>
        <w:t>落实政府采购政策需满足的资格要求：详见招标文件；</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3.本项目的特定资格要求：</w:t>
      </w:r>
    </w:p>
    <w:p>
      <w:pPr>
        <w:pageBreakBefore w:val="0"/>
        <w:bidi w:val="0"/>
        <w:spacing w:line="400" w:lineRule="exact"/>
        <w:ind w:left="0" w:leftChars="0" w:right="0" w:rightChars="0"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3.1</w:t>
      </w:r>
      <w:r>
        <w:rPr>
          <w:rFonts w:hint="eastAsia" w:ascii="宋体" w:hAnsi="宋体" w:cs="宋体"/>
          <w:bCs/>
          <w:color w:val="000000" w:themeColor="text1"/>
          <w:kern w:val="0"/>
          <w:sz w:val="24"/>
          <w:szCs w:val="24"/>
          <w:highlight w:val="none"/>
          <w14:textFill>
            <w14:solidFill>
              <w14:schemeClr w14:val="tx1"/>
            </w14:solidFill>
          </w14:textFill>
        </w:rPr>
        <w:t>申请人必须具有独立法人资格；</w:t>
      </w:r>
    </w:p>
    <w:p>
      <w:pPr>
        <w:pStyle w:val="23"/>
        <w:pageBreakBefore w:val="0"/>
        <w:bidi w:val="0"/>
        <w:spacing w:line="400" w:lineRule="exact"/>
        <w:ind w:left="0" w:leftChars="0" w:right="0" w:rightChars="0" w:firstLine="480" w:firstLineChars="200"/>
        <w:rPr>
          <w:rFonts w:ascii="宋体" w:hAnsi="宋体" w:eastAsia="宋体" w:cs="宋体"/>
          <w:kern w:val="2"/>
          <w:sz w:val="24"/>
          <w:szCs w:val="24"/>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3.2</w:t>
      </w:r>
      <w:r>
        <w:rPr>
          <w:rFonts w:hint="eastAsia" w:ascii="宋体" w:hAnsi="宋体" w:eastAsia="宋体" w:cs="宋体"/>
          <w:kern w:val="2"/>
          <w:sz w:val="24"/>
          <w:szCs w:val="24"/>
        </w:rPr>
        <w:t>具有</w:t>
      </w:r>
      <w:r>
        <w:rPr>
          <w:rFonts w:hint="eastAsia" w:ascii="宋体" w:hAnsi="宋体" w:eastAsia="宋体" w:cs="宋体"/>
          <w:kern w:val="2"/>
          <w:sz w:val="24"/>
          <w:szCs w:val="24"/>
          <w:lang w:eastAsia="zh-CN"/>
        </w:rPr>
        <w:t>再生资源回收、塑料制品加工与销售</w:t>
      </w:r>
      <w:r>
        <w:rPr>
          <w:rFonts w:hint="eastAsia" w:ascii="宋体" w:hAnsi="宋体" w:eastAsia="宋体" w:cs="宋体"/>
          <w:kern w:val="2"/>
          <w:sz w:val="24"/>
          <w:szCs w:val="24"/>
        </w:rPr>
        <w:t>经营许可证</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营业执照（提供经营许可证和营业执照复印件）。</w:t>
      </w:r>
    </w:p>
    <w:p>
      <w:pPr>
        <w:pStyle w:val="23"/>
        <w:pageBreakBefore w:val="0"/>
        <w:bidi w:val="0"/>
        <w:spacing w:line="400" w:lineRule="exact"/>
        <w:ind w:left="0" w:leftChars="0" w:right="0" w:rightChars="0" w:firstLine="480" w:firstLineChars="200"/>
        <w:rPr>
          <w:rFonts w:hint="default" w:eastAsia="楷体_GB2312"/>
          <w:lang w:val="en-US" w:eastAsia="zh-CN"/>
        </w:rPr>
      </w:pPr>
      <w:r>
        <w:rPr>
          <w:rFonts w:hint="eastAsia" w:ascii="宋体" w:hAnsi="宋体" w:eastAsia="宋体" w:cs="宋体"/>
          <w:kern w:val="2"/>
          <w:sz w:val="24"/>
          <w:szCs w:val="24"/>
          <w:lang w:val="en-US" w:eastAsia="zh-CN"/>
        </w:rPr>
        <w:t>3.3</w:t>
      </w:r>
      <w:r>
        <w:rPr>
          <w:rFonts w:hint="eastAsia" w:ascii="宋体" w:hAnsi="宋体" w:eastAsia="宋体" w:cs="宋体"/>
          <w:kern w:val="2"/>
          <w:sz w:val="24"/>
          <w:szCs w:val="24"/>
        </w:rPr>
        <w:t>转运可以委托第三方，但必须具有中华人民共和国道路运输经营许可证（提供道路运输经营许可证、车辆行驶证复印件及委托协议）</w:t>
      </w:r>
      <w:r>
        <w:rPr>
          <w:rFonts w:hint="eastAsia" w:ascii="宋体" w:hAnsi="宋体" w:eastAsia="宋体" w:cs="宋体"/>
          <w:kern w:val="2"/>
          <w:sz w:val="24"/>
          <w:szCs w:val="24"/>
          <w:lang w:eastAsia="zh-CN"/>
        </w:rPr>
        <w:t>。</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asciiTheme="minorEastAsia" w:hAnsiTheme="minorEastAsia" w:eastAsiaTheme="minorEastAsia"/>
          <w:b/>
          <w:color w:val="000000" w:themeColor="text1"/>
          <w:sz w:val="24"/>
          <w:szCs w:val="24"/>
          <w:highlight w:val="none"/>
          <w14:textFill>
            <w14:solidFill>
              <w14:schemeClr w14:val="tx1"/>
            </w14:solidFill>
          </w14:textFill>
        </w:rPr>
        <w:t>本项目是否专门面向中小企业：</w:t>
      </w: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是</w:t>
      </w:r>
      <w:r>
        <w:rPr>
          <w:rFonts w:asciiTheme="minorEastAsia" w:hAnsiTheme="minorEastAsia" w:eastAsiaTheme="minorEastAsia"/>
          <w:b/>
          <w:color w:val="000000" w:themeColor="text1"/>
          <w:sz w:val="24"/>
          <w:szCs w:val="24"/>
          <w:highlight w:val="none"/>
          <w14:textFill>
            <w14:solidFill>
              <w14:schemeClr w14:val="tx1"/>
            </w14:solidFill>
          </w14:textFill>
        </w:rPr>
        <w:t>。</w:t>
      </w:r>
    </w:p>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三、获取招标文件</w:t>
      </w:r>
      <w:bookmarkEnd w:id="19"/>
      <w:bookmarkEnd w:id="20"/>
      <w:bookmarkEnd w:id="21"/>
      <w:bookmarkEnd w:id="22"/>
      <w:bookmarkEnd w:id="23"/>
    </w:p>
    <w:p>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default"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pPr>
      <w:bookmarkStart w:id="24" w:name="_Toc28359082"/>
      <w:bookmarkStart w:id="25" w:name="_Toc28359005"/>
      <w:bookmarkStart w:id="26" w:name="_Toc35393793"/>
      <w:bookmarkStart w:id="27" w:name="_Toc35393624"/>
      <w:bookmarkStart w:id="28" w:name="_Toc38985266"/>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w:t>
      </w:r>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.招标文件获取时间为：2023年6月27日至2023年7月4日；</w:t>
      </w:r>
    </w:p>
    <w:p>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default"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2.招标文件获取方式：2023年度通州区废旧地膜转运处置服务公开招标项目的潜在投标人可在“南通市供销合作总社网站”自行免费下载招标文件。</w:t>
      </w:r>
    </w:p>
    <w:p>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default"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3.投标保证金数额：本项目不收投标保证金。</w:t>
      </w:r>
    </w:p>
    <w:p>
      <w:pPr>
        <w:pageBreakBefore w:val="0"/>
        <w:widowControl/>
        <w:bidi w:val="0"/>
        <w:spacing w:line="400" w:lineRule="exact"/>
        <w:ind w:left="0" w:leftChars="0" w:right="0" w:rightChars="0" w:firstLine="480" w:firstLineChars="200"/>
        <w:jc w:val="left"/>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四、提交投标文件</w:t>
      </w:r>
      <w:bookmarkEnd w:id="24"/>
      <w:bookmarkEnd w:id="25"/>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截止时间、开标时间和地点</w:t>
      </w:r>
      <w:bookmarkEnd w:id="26"/>
      <w:bookmarkEnd w:id="27"/>
      <w:bookmarkEnd w:id="28"/>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w:t>
      </w:r>
    </w:p>
    <w:p>
      <w:pPr>
        <w:pageBreakBefore w:val="0"/>
        <w:bidi w:val="0"/>
        <w:spacing w:line="400" w:lineRule="exact"/>
        <w:ind w:left="0" w:leftChars="0" w:right="0" w:rightChars="0" w:firstLine="480" w:firstLineChars="200"/>
        <w:rPr>
          <w:rFonts w:hint="eastAsia" w:ascii="宋体" w:hAnsi="宋体"/>
          <w:sz w:val="24"/>
          <w:szCs w:val="24"/>
        </w:rPr>
      </w:pPr>
      <w:r>
        <w:rPr>
          <w:rFonts w:hint="eastAsia" w:ascii="宋体" w:hAnsi="宋体"/>
          <w:sz w:val="24"/>
          <w:szCs w:val="24"/>
        </w:rPr>
        <w:t>供应商在开标现场参加</w:t>
      </w:r>
      <w:r>
        <w:rPr>
          <w:rFonts w:hint="eastAsia" w:ascii="宋体" w:hAnsi="宋体"/>
          <w:sz w:val="24"/>
          <w:szCs w:val="24"/>
          <w:lang w:eastAsia="zh-CN"/>
        </w:rPr>
        <w:t>投标</w:t>
      </w:r>
      <w:r>
        <w:rPr>
          <w:rFonts w:hint="eastAsia" w:ascii="宋体" w:hAnsi="宋体"/>
          <w:sz w:val="24"/>
          <w:szCs w:val="24"/>
        </w:rPr>
        <w:t>活动。</w:t>
      </w:r>
    </w:p>
    <w:p>
      <w:pPr>
        <w:spacing w:line="400" w:lineRule="exact"/>
        <w:ind w:firstLine="480" w:firstLineChars="200"/>
        <w:rPr>
          <w:rFonts w:ascii="宋体" w:cs="宋体"/>
          <w:color w:val="0C0C0C"/>
          <w:sz w:val="24"/>
          <w:szCs w:val="24"/>
          <w:highlight w:val="yellow"/>
        </w:rPr>
      </w:pPr>
      <w:r>
        <w:rPr>
          <w:rFonts w:hint="eastAsia" w:ascii="宋体" w:hAnsi="宋体" w:cs="宋体"/>
          <w:color w:val="0C0C0C"/>
          <w:sz w:val="24"/>
          <w:szCs w:val="24"/>
        </w:rPr>
        <w:t>投标文件递交截止时间：</w:t>
      </w:r>
      <w:r>
        <w:rPr>
          <w:rFonts w:hint="eastAsia" w:ascii="宋体" w:hAnsi="宋体" w:cs="宋体"/>
          <w:b/>
          <w:bCs/>
          <w:sz w:val="24"/>
          <w:szCs w:val="24"/>
          <w:lang w:eastAsia="zh-CN"/>
        </w:rPr>
        <w:t>2023</w:t>
      </w:r>
      <w:r>
        <w:rPr>
          <w:rFonts w:hint="eastAsia" w:ascii="宋体" w:hAnsi="宋体" w:cs="宋体"/>
          <w:b/>
          <w:bCs/>
          <w:sz w:val="24"/>
          <w:szCs w:val="24"/>
        </w:rPr>
        <w:t>年</w:t>
      </w:r>
      <w:r>
        <w:rPr>
          <w:rFonts w:hint="eastAsia" w:ascii="宋体" w:hAnsi="宋体" w:cs="宋体"/>
          <w:b/>
          <w:bCs/>
          <w:sz w:val="24"/>
          <w:szCs w:val="24"/>
          <w:lang w:val="en-US" w:eastAsia="zh-CN"/>
        </w:rPr>
        <w:t>7</w:t>
      </w:r>
      <w:r>
        <w:rPr>
          <w:rFonts w:hint="eastAsia" w:ascii="宋体" w:hAnsi="宋体" w:cs="宋体"/>
          <w:b/>
          <w:bCs/>
          <w:sz w:val="24"/>
          <w:szCs w:val="24"/>
        </w:rPr>
        <w:t>月</w:t>
      </w:r>
      <w:r>
        <w:rPr>
          <w:rFonts w:hint="eastAsia" w:ascii="宋体" w:hAnsi="宋体" w:cs="宋体"/>
          <w:b/>
          <w:bCs/>
          <w:sz w:val="24"/>
          <w:szCs w:val="24"/>
          <w:lang w:val="en-US" w:eastAsia="zh-CN"/>
        </w:rPr>
        <w:t>12</w:t>
      </w:r>
      <w:r>
        <w:rPr>
          <w:rFonts w:hint="eastAsia" w:ascii="宋体" w:hAnsi="宋体" w:cs="宋体"/>
          <w:b/>
          <w:bCs/>
          <w:sz w:val="24"/>
          <w:szCs w:val="24"/>
        </w:rPr>
        <w:t>日</w:t>
      </w:r>
      <w:r>
        <w:rPr>
          <w:rFonts w:hint="eastAsia" w:ascii="宋体" w:hAnsi="宋体" w:cs="宋体"/>
          <w:b/>
          <w:bCs/>
          <w:sz w:val="24"/>
          <w:szCs w:val="24"/>
          <w:lang w:val="en-US" w:eastAsia="zh-CN"/>
        </w:rPr>
        <w:t>15</w:t>
      </w:r>
      <w:r>
        <w:rPr>
          <w:rFonts w:hint="eastAsia" w:ascii="宋体" w:hAnsi="宋体" w:cs="宋体"/>
          <w:b/>
          <w:bCs/>
          <w:sz w:val="24"/>
          <w:szCs w:val="24"/>
        </w:rPr>
        <w:t>时</w:t>
      </w:r>
      <w:r>
        <w:rPr>
          <w:rFonts w:hint="eastAsia" w:ascii="宋体" w:hAnsi="宋体" w:cs="宋体"/>
          <w:b/>
          <w:bCs/>
          <w:sz w:val="24"/>
          <w:szCs w:val="24"/>
          <w:lang w:val="en-US" w:eastAsia="zh-CN"/>
        </w:rPr>
        <w:t>30</w:t>
      </w:r>
      <w:r>
        <w:rPr>
          <w:rFonts w:hint="eastAsia" w:ascii="宋体" w:hAnsi="宋体" w:cs="宋体"/>
          <w:b/>
          <w:bCs/>
          <w:sz w:val="24"/>
          <w:szCs w:val="24"/>
        </w:rPr>
        <w:t>分</w:t>
      </w:r>
    </w:p>
    <w:p>
      <w:pPr>
        <w:adjustRightInd w:val="0"/>
        <w:snapToGrid w:val="0"/>
        <w:spacing w:line="500" w:lineRule="exact"/>
        <w:ind w:firstLine="480" w:firstLineChars="200"/>
        <w:jc w:val="left"/>
        <w:textAlignment w:val="baseline"/>
        <w:rPr>
          <w:rFonts w:hint="eastAsia" w:ascii="宋体" w:hAnsi="宋体"/>
          <w:sz w:val="24"/>
          <w:szCs w:val="24"/>
        </w:rPr>
      </w:pPr>
      <w:r>
        <w:rPr>
          <w:rFonts w:hint="eastAsia" w:ascii="宋体" w:hAnsi="宋体" w:cs="宋体"/>
          <w:color w:val="0C0C0C"/>
          <w:sz w:val="24"/>
          <w:szCs w:val="24"/>
        </w:rPr>
        <w:t>提交地点：南通市通州区供销合作总社二楼会议室</w:t>
      </w:r>
      <w:r>
        <w:rPr>
          <w:rFonts w:ascii="宋体" w:hAnsi="宋体" w:cs="宋体"/>
          <w:color w:val="0C0C0C"/>
          <w:sz w:val="24"/>
          <w:szCs w:val="24"/>
        </w:rPr>
        <w:t>(</w:t>
      </w:r>
      <w:r>
        <w:rPr>
          <w:rFonts w:hint="eastAsia" w:ascii="宋体" w:hAnsi="宋体" w:cs="宋体"/>
          <w:color w:val="0C0C0C"/>
          <w:sz w:val="24"/>
          <w:szCs w:val="24"/>
        </w:rPr>
        <w:t>通州区金沙街道朝阳路48号)</w:t>
      </w:r>
    </w:p>
    <w:p>
      <w:pPr>
        <w:adjustRightInd w:val="0"/>
        <w:snapToGrid w:val="0"/>
        <w:spacing w:line="500" w:lineRule="exact"/>
        <w:ind w:firstLine="482" w:firstLineChars="200"/>
        <w:jc w:val="left"/>
        <w:textAlignment w:val="baseline"/>
        <w:rPr>
          <w:rFonts w:ascii="宋体" w:hAnsi="宋体"/>
          <w:sz w:val="24"/>
          <w:szCs w:val="24"/>
        </w:rPr>
      </w:pPr>
      <w:r>
        <w:rPr>
          <w:rFonts w:hint="eastAsia" w:ascii="宋体" w:hAnsi="宋体"/>
          <w:b/>
          <w:sz w:val="24"/>
          <w:szCs w:val="24"/>
          <w:lang w:eastAsia="zh-CN"/>
        </w:rPr>
        <w:t>五</w:t>
      </w:r>
      <w:r>
        <w:rPr>
          <w:rFonts w:ascii="宋体" w:hAnsi="宋体"/>
          <w:b/>
          <w:sz w:val="24"/>
          <w:szCs w:val="24"/>
        </w:rPr>
        <w:t>、</w:t>
      </w:r>
      <w:r>
        <w:rPr>
          <w:rFonts w:hint="eastAsia" w:ascii="宋体" w:hAnsi="宋体"/>
          <w:sz w:val="24"/>
          <w:szCs w:val="24"/>
          <w:lang w:eastAsia="zh-CN"/>
        </w:rPr>
        <w:t>投标</w:t>
      </w:r>
      <w:r>
        <w:rPr>
          <w:rFonts w:ascii="宋体" w:hAnsi="宋体"/>
          <w:sz w:val="24"/>
          <w:szCs w:val="24"/>
        </w:rPr>
        <w:t>程序及评审方法和标准</w:t>
      </w:r>
    </w:p>
    <w:p>
      <w:pPr>
        <w:pStyle w:val="23"/>
        <w:spacing w:line="480" w:lineRule="exact"/>
        <w:ind w:firstLine="480" w:firstLineChars="200"/>
        <w:rPr>
          <w:rFonts w:hint="eastAsia" w:ascii="宋体" w:hAnsi="宋体"/>
          <w:sz w:val="24"/>
          <w:szCs w:val="24"/>
        </w:rPr>
      </w:pPr>
      <w:r>
        <w:rPr>
          <w:rFonts w:hint="eastAsia" w:ascii="宋体" w:hAnsi="宋体" w:eastAsia="宋体"/>
          <w:color w:val="000000"/>
          <w:sz w:val="24"/>
        </w:rPr>
        <w:t>有效报价是指投标人的报价低于招标人设定的招标控制价，</w:t>
      </w:r>
      <w:r>
        <w:rPr>
          <w:rFonts w:ascii="宋体" w:hAnsi="宋体" w:eastAsia="宋体"/>
          <w:color w:val="000000"/>
          <w:sz w:val="24"/>
        </w:rPr>
        <w:t>本工程招标控制价为：</w:t>
      </w:r>
      <w:r>
        <w:rPr>
          <w:rFonts w:hint="eastAsia" w:ascii="宋体" w:hAnsi="宋体" w:eastAsia="宋体"/>
          <w:color w:val="000000"/>
          <w:sz w:val="24"/>
          <w:lang w:eastAsia="zh-CN"/>
        </w:rPr>
        <w:t>单价</w:t>
      </w:r>
      <w:r>
        <w:rPr>
          <w:rFonts w:hint="eastAsia" w:ascii="宋体" w:hAnsi="宋体" w:eastAsia="宋体"/>
          <w:color w:val="000000"/>
          <w:sz w:val="24"/>
          <w:lang w:val="en-US" w:eastAsia="zh-CN"/>
        </w:rPr>
        <w:t>460元/吨，数量约300吨，总价13800</w:t>
      </w:r>
      <w:r>
        <w:rPr>
          <w:rFonts w:hint="eastAsia" w:ascii="宋体" w:hAnsi="宋体" w:eastAsia="宋体"/>
          <w:color w:val="000000"/>
          <w:sz w:val="24"/>
        </w:rPr>
        <w:t>0</w:t>
      </w:r>
      <w:r>
        <w:rPr>
          <w:rFonts w:ascii="宋体" w:hAnsi="宋体" w:eastAsia="宋体"/>
          <w:color w:val="000000"/>
          <w:sz w:val="24"/>
        </w:rPr>
        <w:t>元</w:t>
      </w:r>
      <w:r>
        <w:rPr>
          <w:rFonts w:hint="eastAsia" w:ascii="宋体" w:hAnsi="宋体" w:eastAsia="宋体"/>
          <w:color w:val="000000"/>
          <w:sz w:val="24"/>
        </w:rPr>
        <w:t>。</w:t>
      </w:r>
      <w:bookmarkStart w:id="151" w:name="_GoBack"/>
      <w:bookmarkEnd w:id="151"/>
    </w:p>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9" w:name="_Toc28359007"/>
      <w:bookmarkStart w:id="30" w:name="_Toc35393625"/>
      <w:bookmarkStart w:id="31" w:name="_Toc38985267"/>
      <w:bookmarkStart w:id="32" w:name="_Toc28359084"/>
      <w:bookmarkStart w:id="33" w:name="_Toc35393794"/>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六</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、公告期限</w:t>
      </w:r>
      <w:bookmarkEnd w:id="29"/>
      <w:bookmarkEnd w:id="30"/>
      <w:bookmarkEnd w:id="31"/>
      <w:bookmarkEnd w:id="32"/>
      <w:bookmarkEnd w:id="33"/>
    </w:p>
    <w:p>
      <w:pPr>
        <w:pageBreakBefore w:val="0"/>
        <w:bidi w:val="0"/>
        <w:spacing w:line="400" w:lineRule="exact"/>
        <w:ind w:left="0" w:leftChars="0" w:right="0" w:rightChars="0" w:firstLine="480" w:firstLineChars="200"/>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公告期限为</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202</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 xml:space="preserve"> 月</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27</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 xml:space="preserve"> 日—202</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 xml:space="preserve"> 月</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w:t>
      </w:r>
    </w:p>
    <w:p>
      <w:pPr>
        <w:pageBreakBefore w:val="0"/>
        <w:widowControl/>
        <w:bidi w:val="0"/>
        <w:spacing w:line="400" w:lineRule="exact"/>
        <w:ind w:left="0" w:leftChars="0" w:right="0" w:rightChars="0" w:firstLine="480" w:firstLineChars="200"/>
        <w:jc w:val="left"/>
        <w:rPr>
          <w:rFonts w:hint="eastAsia" w:ascii="宋体" w:hAnsi="宋体" w:eastAsia="宋体" w:cs="Times New Roman"/>
          <w:color w:val="000000"/>
          <w:sz w:val="24"/>
        </w:rPr>
      </w:pPr>
      <w:bookmarkStart w:id="34" w:name="_Toc35393627"/>
      <w:bookmarkStart w:id="35" w:name="_Toc28359008"/>
      <w:bookmarkStart w:id="36" w:name="_Toc38985269"/>
      <w:bookmarkStart w:id="37" w:name="_Toc28359085"/>
      <w:bookmarkStart w:id="38" w:name="_Toc35393796"/>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七、本次招标联系方式</w:t>
      </w:r>
      <w:bookmarkEnd w:id="34"/>
      <w:bookmarkEnd w:id="35"/>
      <w:bookmarkEnd w:id="36"/>
      <w:bookmarkEnd w:id="37"/>
      <w:bookmarkEnd w:id="38"/>
      <w:r>
        <w:rPr>
          <w:rFonts w:hint="eastAsia" w:ascii="宋体" w:hAnsi="宋体" w:eastAsia="宋体" w:cs="Times New Roman"/>
          <w:color w:val="000000"/>
          <w:sz w:val="24"/>
        </w:rPr>
        <w:t>　　</w:t>
      </w:r>
    </w:p>
    <w:p>
      <w:pPr>
        <w:pStyle w:val="23"/>
        <w:spacing w:line="480" w:lineRule="exact"/>
        <w:ind w:firstLine="480" w:firstLineChars="200"/>
        <w:rPr>
          <w:rFonts w:hint="eastAsia" w:ascii="宋体" w:hAnsi="宋体" w:eastAsia="宋体" w:cs="Times New Roman"/>
          <w:color w:val="000000"/>
          <w:sz w:val="24"/>
        </w:rPr>
      </w:pPr>
      <w:bookmarkStart w:id="39" w:name="_Toc28359009"/>
      <w:bookmarkStart w:id="40" w:name="_Toc28359086"/>
      <w:r>
        <w:rPr>
          <w:rFonts w:hint="eastAsia" w:ascii="宋体" w:hAnsi="宋体" w:eastAsia="宋体" w:cs="Times New Roman"/>
          <w:color w:val="000000"/>
          <w:sz w:val="24"/>
        </w:rPr>
        <w:t>名称：南通市通州区供销合作总社</w:t>
      </w:r>
    </w:p>
    <w:p>
      <w:pPr>
        <w:pStyle w:val="23"/>
        <w:spacing w:line="48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地址：南通市通州区金沙镇朝阳路48号</w:t>
      </w:r>
    </w:p>
    <w:p>
      <w:pPr>
        <w:pStyle w:val="23"/>
        <w:spacing w:line="48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招标人：南通市通州区供销合作总社</w:t>
      </w:r>
    </w:p>
    <w:p>
      <w:pPr>
        <w:pStyle w:val="23"/>
        <w:spacing w:line="48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联系人：帅先生、吴先生</w:t>
      </w:r>
    </w:p>
    <w:p>
      <w:pPr>
        <w:pStyle w:val="23"/>
        <w:spacing w:line="48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联系电话：0513-81691691、86512693</w:t>
      </w:r>
    </w:p>
    <w:bookmarkEnd w:id="39"/>
    <w:bookmarkEnd w:id="40"/>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八、其他</w:t>
      </w:r>
    </w:p>
    <w:p>
      <w:pPr>
        <w:pageBreakBefore w:val="0"/>
        <w:widowControl/>
        <w:bidi w:val="0"/>
        <w:spacing w:line="400" w:lineRule="exact"/>
        <w:ind w:left="0" w:leftChars="0" w:right="0" w:rightChars="0"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1.潜在投标人对招标文件项目需求部分的询问、质疑请向采购人提出，由采购人负责答复。潜在投标人对招标文件的询问、质疑请向采购人提出，由采购人负责答复。</w:t>
      </w:r>
    </w:p>
    <w:p>
      <w:pPr>
        <w:pageBreakBefore w:val="0"/>
        <w:widowControl/>
        <w:bidi w:val="0"/>
        <w:spacing w:line="400" w:lineRule="exact"/>
        <w:ind w:left="0" w:leftChars="0" w:right="0" w:rightChars="0"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2.投标文件制作份数要求：</w:t>
      </w:r>
    </w:p>
    <w:p>
      <w:pPr>
        <w:pageBreakBefore w:val="0"/>
        <w:widowControl/>
        <w:bidi w:val="0"/>
        <w:spacing w:line="400" w:lineRule="exact"/>
        <w:ind w:left="0" w:leftChars="0" w:right="0" w:rightChars="0" w:firstLine="480" w:firstLineChars="200"/>
        <w:jc w:val="left"/>
        <w:rPr>
          <w:rFonts w:hint="eastAsia" w:asciiTheme="majorEastAsia" w:hAnsiTheme="majorEastAsia" w:eastAsiaTheme="maj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正本份数：</w:t>
      </w:r>
      <w:r>
        <w:rPr>
          <w:rFonts w:hint="eastAsia" w:asciiTheme="minorEastAsia" w:hAnsiTheme="minorEastAsia" w:eastAsiaTheme="minorEastAsia"/>
          <w:bCs/>
          <w:color w:val="000000" w:themeColor="text1"/>
          <w:sz w:val="24"/>
          <w:szCs w:val="24"/>
          <w:highlight w:val="none"/>
          <w:u w:val="single"/>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14:textFill>
            <w14:solidFill>
              <w14:schemeClr w14:val="tx1"/>
            </w14:solidFill>
          </w14:textFill>
        </w:rPr>
        <w:t xml:space="preserve">份  </w:t>
      </w:r>
      <w:bookmarkEnd w:id="6"/>
    </w:p>
    <w:p>
      <w:pPr>
        <w:pageBreakBefore w:val="0"/>
        <w:bidi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pacing w:line="400" w:lineRule="exact"/>
        <w:ind w:left="0" w:leftChars="0" w:right="0" w:rightChars="0" w:firstLine="643" w:firstLineChars="200"/>
        <w:jc w:val="center"/>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color w:val="000000" w:themeColor="text1"/>
          <w:sz w:val="32"/>
          <w:szCs w:val="32"/>
          <w:highlight w:val="none"/>
          <w14:textFill>
            <w14:solidFill>
              <w14:schemeClr w14:val="tx1"/>
            </w14:solidFill>
          </w14:textFill>
        </w:rPr>
        <w:t xml:space="preserve">第二章  </w:t>
      </w:r>
      <w:bookmarkEnd w:id="1"/>
      <w:bookmarkEnd w:id="2"/>
      <w:bookmarkEnd w:id="3"/>
      <w:bookmarkEnd w:id="4"/>
      <w:bookmarkEnd w:id="5"/>
      <w:bookmarkEnd w:id="7"/>
      <w:bookmarkStart w:id="41" w:name="_Toc16938518"/>
      <w:bookmarkStart w:id="42" w:name="_Toc513029202"/>
      <w:bookmarkStart w:id="43" w:name="_Toc120614213"/>
      <w:bookmarkStart w:id="44" w:name="_Toc20823274"/>
      <w:r>
        <w:rPr>
          <w:rFonts w:hint="eastAsia" w:asciiTheme="majorEastAsia" w:hAnsiTheme="majorEastAsia" w:eastAsiaTheme="majorEastAsia"/>
          <w:b/>
          <w:color w:val="000000" w:themeColor="text1"/>
          <w:sz w:val="32"/>
          <w:szCs w:val="32"/>
          <w:highlight w:val="none"/>
          <w14:textFill>
            <w14:solidFill>
              <w14:schemeClr w14:val="tx1"/>
            </w14:solidFill>
          </w14:textFill>
        </w:rPr>
        <w:t>投标人须知</w:t>
      </w:r>
      <w:bookmarkEnd w:id="41"/>
      <w:bookmarkEnd w:id="42"/>
      <w:bookmarkEnd w:id="43"/>
      <w:bookmarkEnd w:id="44"/>
    </w:p>
    <w:p>
      <w:pPr>
        <w:pageBreakBefore w:val="0"/>
        <w:bidi w:val="0"/>
        <w:spacing w:line="400" w:lineRule="exact"/>
        <w:ind w:left="0" w:leftChars="0" w:right="0" w:rightChars="0" w:firstLine="562" w:firstLineChars="200"/>
        <w:jc w:val="center"/>
        <w:rPr>
          <w:rFonts w:asciiTheme="majorEastAsia" w:hAnsiTheme="majorEastAsia" w:eastAsiaTheme="majorEastAsia"/>
          <w:b/>
          <w:color w:val="000000" w:themeColor="text1"/>
          <w:sz w:val="28"/>
          <w:szCs w:val="28"/>
          <w:highlight w:val="none"/>
          <w14:textFill>
            <w14:solidFill>
              <w14:schemeClr w14:val="tx1"/>
            </w14:solidFill>
          </w14:textFill>
        </w:rPr>
      </w:pPr>
      <w:bookmarkStart w:id="45" w:name="_Toc16938519"/>
      <w:bookmarkStart w:id="46" w:name="_Toc20823275"/>
      <w:bookmarkStart w:id="47" w:name="_Toc513029203"/>
      <w:bookmarkStart w:id="48" w:name="_Toc120614214"/>
      <w:r>
        <w:rPr>
          <w:rFonts w:hint="eastAsia" w:asciiTheme="majorEastAsia" w:hAnsiTheme="majorEastAsia" w:eastAsiaTheme="majorEastAsia"/>
          <w:b/>
          <w:color w:val="000000" w:themeColor="text1"/>
          <w:sz w:val="28"/>
          <w:szCs w:val="28"/>
          <w:highlight w:val="none"/>
          <w14:textFill>
            <w14:solidFill>
              <w14:schemeClr w14:val="tx1"/>
            </w14:solidFill>
          </w14:textFill>
        </w:rPr>
        <w:t>一、总则</w:t>
      </w:r>
      <w:bookmarkEnd w:id="45"/>
      <w:bookmarkEnd w:id="46"/>
      <w:bookmarkEnd w:id="47"/>
      <w:bookmarkEnd w:id="48"/>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bookmarkStart w:id="49" w:name="_Hlt16619475"/>
      <w:bookmarkEnd w:id="49"/>
      <w:bookmarkStart w:id="50" w:name="_Toc458694821"/>
      <w:bookmarkStart w:id="51" w:name="_Toc20823276"/>
      <w:bookmarkStart w:id="52" w:name="_Toc513029204"/>
      <w:bookmarkStart w:id="53" w:name="_Toc16938520"/>
      <w:r>
        <w:rPr>
          <w:rFonts w:hint="eastAsia" w:asciiTheme="majorEastAsia" w:hAnsiTheme="majorEastAsia" w:eastAsiaTheme="majorEastAsia"/>
          <w:color w:val="000000" w:themeColor="text1"/>
          <w:sz w:val="24"/>
          <w:szCs w:val="24"/>
          <w:highlight w:val="none"/>
          <w14:textFill>
            <w14:solidFill>
              <w14:schemeClr w14:val="tx1"/>
            </w14:solidFill>
          </w14:textFill>
        </w:rPr>
        <w:t>1</w:t>
      </w:r>
      <w:bookmarkEnd w:id="50"/>
      <w:r>
        <w:rPr>
          <w:rFonts w:hint="eastAsia" w:asciiTheme="majorEastAsia" w:hAnsiTheme="majorEastAsia" w:eastAsiaTheme="majorEastAsia"/>
          <w:color w:val="000000" w:themeColor="text1"/>
          <w:sz w:val="24"/>
          <w:szCs w:val="24"/>
          <w:highlight w:val="none"/>
          <w14:textFill>
            <w14:solidFill>
              <w14:schemeClr w14:val="tx1"/>
            </w14:solidFill>
          </w14:textFill>
        </w:rPr>
        <w:t>、招标方式</w:t>
      </w:r>
      <w:bookmarkEnd w:id="51"/>
      <w:bookmarkEnd w:id="52"/>
      <w:bookmarkEnd w:id="53"/>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1.1 本次招标采取公开招标方式，本招标文件仅适用于招标公告中所述项目。</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bookmarkStart w:id="54" w:name="_Toc513029205"/>
      <w:bookmarkStart w:id="55" w:name="_Toc16938521"/>
      <w:bookmarkStart w:id="56" w:name="_Toc20823277"/>
      <w:r>
        <w:rPr>
          <w:rFonts w:hint="eastAsia" w:asciiTheme="majorEastAsia" w:hAnsiTheme="majorEastAsia" w:eastAsiaTheme="majorEastAsia"/>
          <w:color w:val="000000" w:themeColor="text1"/>
          <w:sz w:val="24"/>
          <w:szCs w:val="24"/>
          <w:highlight w:val="none"/>
          <w14:textFill>
            <w14:solidFill>
              <w14:schemeClr w14:val="tx1"/>
            </w14:solidFill>
          </w14:textFill>
        </w:rPr>
        <w:t>2、合格的投标人</w:t>
      </w:r>
      <w:bookmarkEnd w:id="54"/>
      <w:bookmarkEnd w:id="55"/>
      <w:bookmarkEnd w:id="56"/>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2.1满足招标公告中</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投标人</w:t>
      </w:r>
      <w:r>
        <w:rPr>
          <w:rFonts w:hint="eastAsia" w:asciiTheme="majorEastAsia" w:hAnsiTheme="majorEastAsia" w:eastAsiaTheme="majorEastAsia"/>
          <w:color w:val="000000" w:themeColor="text1"/>
          <w:sz w:val="24"/>
          <w:szCs w:val="24"/>
          <w:highlight w:val="none"/>
          <w14:textFill>
            <w14:solidFill>
              <w14:schemeClr w14:val="tx1"/>
            </w14:solidFill>
          </w14:textFill>
        </w:rPr>
        <w:t>的资格要求的规定。</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 满足本文件实质性条款的规定。</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2.3至投标截止时间节点</w:t>
      </w:r>
      <w:bookmarkStart w:id="57" w:name="_Toc20823278"/>
      <w:bookmarkStart w:id="58" w:name="_Toc16938522"/>
      <w:bookmarkStart w:id="59" w:name="_Toc513029206"/>
      <w:r>
        <w:rPr>
          <w:rFonts w:hint="eastAsia" w:asciiTheme="majorEastAsia" w:hAnsiTheme="majorEastAsia" w:eastAsiaTheme="majorEastAsia"/>
          <w:color w:val="000000" w:themeColor="text1"/>
          <w:sz w:val="24"/>
          <w:szCs w:val="24"/>
          <w:highlight w:val="none"/>
          <w14:textFill>
            <w14:solidFill>
              <w14:schemeClr w14:val="tx1"/>
            </w14:solidFill>
          </w14:textFill>
        </w:rPr>
        <w:t>未被“信用中国”网站(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t>www.creditchina.gov.cn</w:t>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color w:val="000000" w:themeColor="text1"/>
          <w:sz w:val="24"/>
          <w:szCs w:val="24"/>
          <w:highlight w:val="none"/>
          <w14:textFill>
            <w14:solidFill>
              <w14:schemeClr w14:val="tx1"/>
            </w14:solidFill>
          </w14:textFill>
        </w:rPr>
        <w:t>)、中华人民</w:t>
      </w:r>
      <w:r>
        <w:rPr>
          <w:rFonts w:asciiTheme="majorEastAsia" w:hAnsiTheme="majorEastAsia" w:eastAsiaTheme="majorEastAsia"/>
          <w:color w:val="000000" w:themeColor="text1"/>
          <w:sz w:val="24"/>
          <w:szCs w:val="24"/>
          <w:highlight w:val="none"/>
          <w14:textFill>
            <w14:solidFill>
              <w14:schemeClr w14:val="tx1"/>
            </w14:solidFill>
          </w14:textFill>
        </w:rPr>
        <w:t>共和国</w:t>
      </w:r>
      <w:r>
        <w:rPr>
          <w:rFonts w:hint="eastAsia" w:asciiTheme="majorEastAsia" w:hAnsiTheme="majorEastAsia" w:eastAsiaTheme="majorEastAsia"/>
          <w:color w:val="000000" w:themeColor="text1"/>
          <w:sz w:val="24"/>
          <w:szCs w:val="24"/>
          <w:highlight w:val="none"/>
          <w14:textFill>
            <w14:solidFill>
              <w14:schemeClr w14:val="tx1"/>
            </w14:solidFill>
          </w14:textFill>
        </w:rPr>
        <w:t>最高人民法院网站</w:t>
      </w:r>
      <w:r>
        <w:rPr>
          <w:rFonts w:asciiTheme="majorEastAsia" w:hAnsiTheme="majorEastAsia" w:eastAsiaTheme="majorEastAsia"/>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"http://www.court.gov.cn/"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http://www.court.gov.cn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等渠道列入信用记录失信被执行人，未被中国政府采购网(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t>www.ccgp.gov.cn</w:t>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)等渠道列入政府采购严重违法失信行为记录名单，未被中华人民共和国应急管理部网站</w:t>
      </w:r>
      <w:r>
        <w:rPr>
          <w:rFonts w:asciiTheme="majorEastAsia" w:hAnsiTheme="majorEastAsia" w:eastAsiaTheme="majorEastAsia"/>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"http://www.chinasafety.gov.cn/"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http://www.chinasafety.gov.cn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w:t>
      </w:r>
      <w:r>
        <w:rPr>
          <w:rFonts w:asciiTheme="majorEastAsia" w:hAnsiTheme="majorEastAsia" w:eastAsiaTheme="majorEastAsia"/>
          <w:color w:val="000000" w:themeColor="text1"/>
          <w:sz w:val="24"/>
          <w:szCs w:val="24"/>
          <w:highlight w:val="none"/>
          <w14:textFill>
            <w14:solidFill>
              <w14:schemeClr w14:val="tx1"/>
            </w14:solidFill>
          </w14:textFill>
        </w:rPr>
        <w:t>安全生产失信联合惩戒“</w:t>
      </w:r>
      <w:r>
        <w:rPr>
          <w:rFonts w:hint="eastAsia" w:asciiTheme="majorEastAsia" w:hAnsiTheme="majorEastAsia" w:eastAsiaTheme="majorEastAsia"/>
          <w:color w:val="000000" w:themeColor="text1"/>
          <w:sz w:val="24"/>
          <w:szCs w:val="24"/>
          <w:highlight w:val="none"/>
          <w14:textFill>
            <w14:solidFill>
              <w14:schemeClr w14:val="tx1"/>
            </w14:solidFill>
          </w14:textFill>
        </w:rPr>
        <w:t>黑名单</w:t>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 未被国家税务总局</w:t>
      </w:r>
      <w:r>
        <w:rPr>
          <w:rFonts w:asciiTheme="majorEastAsia" w:hAnsiTheme="majorEastAsia" w:eastAsiaTheme="majorEastAsia"/>
          <w:color w:val="000000" w:themeColor="text1"/>
          <w:sz w:val="24"/>
          <w:szCs w:val="24"/>
          <w:highlight w:val="none"/>
          <w14:textFill>
            <w14:solidFill>
              <w14:schemeClr w14:val="tx1"/>
            </w14:solidFill>
          </w14:textFill>
        </w:rPr>
        <w:t>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"http://hd.chinatax.gov.cn/xxk/"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http://hd.chinatax.gov.cn/xxk</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重大税收违法案件当事人名单，未被国家企业</w:t>
      </w:r>
      <w:r>
        <w:rPr>
          <w:rFonts w:asciiTheme="majorEastAsia" w:hAnsiTheme="majorEastAsia" w:eastAsiaTheme="majorEastAsia"/>
          <w:color w:val="000000" w:themeColor="text1"/>
          <w:sz w:val="24"/>
          <w:szCs w:val="24"/>
          <w:highlight w:val="none"/>
          <w14:textFill>
            <w14:solidFill>
              <w14:schemeClr w14:val="tx1"/>
            </w14:solidFill>
          </w14:textFill>
        </w:rPr>
        <w:t>信用信息公示系统（</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http://www.gsxt.gov.cn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经营异常名录、严重违法</w:t>
      </w:r>
      <w:r>
        <w:rPr>
          <w:rFonts w:asciiTheme="majorEastAsia" w:hAnsiTheme="majorEastAsia" w:eastAsiaTheme="majorEastAsia"/>
          <w:color w:val="000000" w:themeColor="text1"/>
          <w:sz w:val="24"/>
          <w:szCs w:val="24"/>
          <w:highlight w:val="none"/>
          <w14:textFill>
            <w14:solidFill>
              <w14:schemeClr w14:val="tx1"/>
            </w14:solidFill>
          </w14:textFill>
        </w:rPr>
        <w:t>失信企业名单</w:t>
      </w:r>
      <w:r>
        <w:rPr>
          <w:rFonts w:hint="eastAsia" w:asciiTheme="majorEastAsia" w:hAnsiTheme="majorEastAsia" w:eastAsiaTheme="majorEastAsia"/>
          <w:color w:val="000000" w:themeColor="text1"/>
          <w:sz w:val="24"/>
          <w:szCs w:val="24"/>
          <w:highlight w:val="none"/>
          <w14:textFill>
            <w14:solidFill>
              <w14:schemeClr w14:val="tx1"/>
            </w14:solidFill>
          </w14:textFill>
        </w:rPr>
        <w:t>，未被</w:t>
      </w:r>
      <w:r>
        <w:rPr>
          <w:rFonts w:asciiTheme="majorEastAsia" w:hAnsiTheme="majorEastAsia" w:eastAsiaTheme="majorEastAsia"/>
          <w:color w:val="000000" w:themeColor="text1"/>
          <w:sz w:val="24"/>
          <w:szCs w:val="24"/>
          <w:highlight w:val="none"/>
          <w14:textFill>
            <w14:solidFill>
              <w14:schemeClr w14:val="tx1"/>
            </w14:solidFill>
          </w14:textFill>
        </w:rPr>
        <w:t>全国公共资源交易平台（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"http://www.ggzy.gov.cn"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http://www.ggzy.gov.cn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黑名单；</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3、适用法律</w:t>
      </w:r>
      <w:bookmarkEnd w:id="57"/>
      <w:bookmarkEnd w:id="58"/>
      <w:bookmarkEnd w:id="59"/>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3.1 本次招标及由此产生的合同受中华人民共和国有关的法律法规制约和保护</w:t>
      </w:r>
      <w:r>
        <w:rPr>
          <w:rFonts w:asciiTheme="majorEastAsia" w:hAnsiTheme="majorEastAsia" w:eastAsiaTheme="majorEastAsia"/>
          <w:color w:val="000000" w:themeColor="text1"/>
          <w:sz w:val="24"/>
          <w:szCs w:val="24"/>
          <w:highlight w:val="none"/>
          <w14:textFill>
            <w14:solidFill>
              <w14:schemeClr w14:val="tx1"/>
            </w14:solidFill>
          </w14:textFill>
        </w:rPr>
        <w:t>。</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60" w:name="_Toc20823279"/>
      <w:bookmarkStart w:id="61" w:name="_Toc16938523"/>
      <w:bookmarkStart w:id="62" w:name="_Toc513029207"/>
      <w:bookmarkStart w:id="63" w:name="_Toc462564067"/>
      <w:r>
        <w:rPr>
          <w:rFonts w:hint="eastAsia" w:asciiTheme="majorEastAsia" w:hAnsiTheme="majorEastAsia" w:eastAsiaTheme="majorEastAsia"/>
          <w:bCs/>
          <w:color w:val="000000" w:themeColor="text1"/>
          <w:sz w:val="24"/>
          <w:szCs w:val="24"/>
          <w:highlight w:val="none"/>
          <w14:textFill>
            <w14:solidFill>
              <w14:schemeClr w14:val="tx1"/>
            </w14:solidFill>
          </w14:textFill>
        </w:rPr>
        <w:t>4、投标费用</w:t>
      </w:r>
      <w:bookmarkEnd w:id="60"/>
      <w:bookmarkEnd w:id="61"/>
      <w:bookmarkEnd w:id="62"/>
      <w:bookmarkEnd w:id="63"/>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4.1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投标人应自行承担所有与参加投标有关的费用，无论投标过程中的做法和结果如何，本采购人在任何情况下均无义务和责任承担这些费用。</w:t>
      </w:r>
    </w:p>
    <w:p>
      <w:pPr>
        <w:pageBreakBefore w:val="0"/>
        <w:bidi w:val="0"/>
        <w:spacing w:line="400" w:lineRule="exact"/>
        <w:ind w:left="0" w:leftChars="0" w:right="0" w:rightChars="0" w:firstLine="480" w:firstLineChars="200"/>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4.2本项目不收取招标文件费用</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5、招标文件的约束力</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5.1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投标人一旦参加本项目采购活动，即被认为接受了本招标文件的规定和约束并且视为自招标公告期限届满之日起知道或应当知道自身权益是否收到了损害。</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pacing w:line="400" w:lineRule="exact"/>
        <w:ind w:left="0" w:leftChars="0" w:right="0" w:rightChars="0" w:firstLine="562" w:firstLineChars="200"/>
        <w:jc w:val="center"/>
        <w:rPr>
          <w:rFonts w:hint="eastAsia" w:asciiTheme="majorEastAsia" w:hAnsiTheme="majorEastAsia" w:eastAsiaTheme="majorEastAsia"/>
          <w:b/>
          <w:color w:val="000000" w:themeColor="text1"/>
          <w:sz w:val="28"/>
          <w:szCs w:val="28"/>
          <w:highlight w:val="none"/>
          <w14:textFill>
            <w14:solidFill>
              <w14:schemeClr w14:val="tx1"/>
            </w14:solidFill>
          </w14:textFill>
        </w:rPr>
      </w:pPr>
      <w:bookmarkStart w:id="64" w:name="_Toc16938525"/>
      <w:bookmarkStart w:id="65" w:name="_Toc20823281"/>
      <w:bookmarkStart w:id="66" w:name="_Toc513029209"/>
      <w:bookmarkStart w:id="67" w:name="_Toc120614215"/>
    </w:p>
    <w:p>
      <w:pPr>
        <w:pageBreakBefore w:val="0"/>
        <w:bidi w:val="0"/>
        <w:spacing w:line="400" w:lineRule="exact"/>
        <w:ind w:left="0" w:leftChars="0" w:right="0" w:rightChars="0" w:firstLine="562" w:firstLineChars="200"/>
        <w:jc w:val="center"/>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二、招标文件</w:t>
      </w:r>
      <w:bookmarkEnd w:id="64"/>
      <w:bookmarkEnd w:id="65"/>
      <w:bookmarkEnd w:id="66"/>
      <w:bookmarkEnd w:id="67"/>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68" w:name="_Toc20823282"/>
      <w:bookmarkStart w:id="69" w:name="_Toc513029210"/>
      <w:bookmarkStart w:id="70" w:name="_Toc16938526"/>
      <w:r>
        <w:rPr>
          <w:rFonts w:hint="eastAsia" w:asciiTheme="majorEastAsia" w:hAnsiTheme="majorEastAsia" w:eastAsiaTheme="majorEastAsia"/>
          <w:bCs/>
          <w:color w:val="000000" w:themeColor="text1"/>
          <w:sz w:val="24"/>
          <w:szCs w:val="24"/>
          <w:highlight w:val="none"/>
          <w14:textFill>
            <w14:solidFill>
              <w14:schemeClr w14:val="tx1"/>
            </w14:solidFill>
          </w14:textFill>
        </w:rPr>
        <w:t>6、招标文件构成</w:t>
      </w:r>
      <w:bookmarkEnd w:id="68"/>
      <w:bookmarkEnd w:id="69"/>
      <w:bookmarkEnd w:id="70"/>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6.1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招标文件由以下部分组成：</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（1）投标邀请</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（2）投标人须知</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（3）合同条款及格式</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（4）项目需求</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（5）评标方法与评标标准</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（6）投标文件格式</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投标人</w:t>
      </w:r>
      <w:r>
        <w:rPr>
          <w:rFonts w:hint="eastAsia" w:asciiTheme="majorEastAsia" w:hAnsiTheme="majorEastAsia" w:eastAsiaTheme="majorEastAsia"/>
          <w:color w:val="000000" w:themeColor="text1"/>
          <w:sz w:val="24"/>
          <w:szCs w:val="24"/>
          <w:highlight w:val="none"/>
          <w14:textFill>
            <w14:solidFill>
              <w14:schemeClr w14:val="tx1"/>
            </w14:solidFill>
          </w14:textFill>
        </w:rPr>
        <w:t>下载招标文件后，应仔细检查招标文件的所有内容，如对采购活动事项有疑问的，应以书面形式提出询问或疑问，未在规定时间内提出询问或疑问的，视同供应商理解并接受本招标文件所有内容，并由此引起的投标损失自负。</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6.2</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71" w:name="_Toc20823283"/>
      <w:bookmarkStart w:id="72" w:name="_Toc462564070"/>
      <w:bookmarkStart w:id="73" w:name="_Toc16938527"/>
      <w:bookmarkStart w:id="74" w:name="_Toc513029211"/>
      <w:r>
        <w:rPr>
          <w:rFonts w:hint="eastAsia" w:asciiTheme="majorEastAsia" w:hAnsiTheme="majorEastAsia" w:eastAsiaTheme="majorEastAsia"/>
          <w:bCs/>
          <w:color w:val="000000" w:themeColor="text1"/>
          <w:sz w:val="24"/>
          <w:szCs w:val="24"/>
          <w:highlight w:val="none"/>
          <w14:textFill>
            <w14:solidFill>
              <w14:schemeClr w14:val="tx1"/>
            </w14:solidFill>
          </w14:textFill>
        </w:rPr>
        <w:t>7、招标文件的</w:t>
      </w:r>
      <w:bookmarkEnd w:id="71"/>
      <w:bookmarkEnd w:id="72"/>
      <w:bookmarkEnd w:id="73"/>
      <w:bookmarkEnd w:id="74"/>
      <w:r>
        <w:rPr>
          <w:rFonts w:hint="eastAsia" w:asciiTheme="majorEastAsia" w:hAnsiTheme="majorEastAsia" w:eastAsiaTheme="majorEastAsia"/>
          <w:bCs/>
          <w:color w:val="000000" w:themeColor="text1"/>
          <w:sz w:val="24"/>
          <w:szCs w:val="24"/>
          <w:highlight w:val="none"/>
          <w14:textFill>
            <w14:solidFill>
              <w14:schemeClr w14:val="tx1"/>
            </w14:solidFill>
          </w14:textFill>
        </w:rPr>
        <w:t>疑问</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7.1</w:t>
      </w:r>
      <w:bookmarkStart w:id="75" w:name="_Toc513029212"/>
      <w:bookmarkStart w:id="76" w:name="_Toc462564071"/>
      <w:bookmarkStart w:id="77" w:name="_Toc20823284"/>
      <w:bookmarkStart w:id="78" w:name="_Toc16938528"/>
      <w:r>
        <w:rPr>
          <w:rFonts w:hint="eastAsia" w:asciiTheme="majorEastAsia" w:hAnsiTheme="majorEastAsia" w:eastAsiaTheme="majorEastAsia"/>
          <w:color w:val="000000" w:themeColor="text1"/>
          <w:sz w:val="24"/>
          <w:szCs w:val="24"/>
          <w:highlight w:val="none"/>
          <w14:textFill>
            <w14:solidFill>
              <w14:schemeClr w14:val="tx1"/>
            </w14:solidFill>
          </w14:textFill>
        </w:rPr>
        <w:t>供应商对采购活动事项有疑问的，应当在202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7  </w:t>
      </w:r>
      <w:r>
        <w:rPr>
          <w:rFonts w:hint="eastAsia" w:asciiTheme="majorEastAsia" w:hAnsiTheme="majorEastAsia" w:eastAsia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5 </w:t>
      </w:r>
      <w:r>
        <w:rPr>
          <w:rFonts w:hint="eastAsia" w:asciiTheme="majorEastAsia" w:hAnsiTheme="majorEastAsia" w:eastAsiaTheme="majorEastAsia"/>
          <w:color w:val="000000" w:themeColor="text1"/>
          <w:sz w:val="24"/>
          <w:szCs w:val="24"/>
          <w:highlight w:val="none"/>
          <w14:textFill>
            <w14:solidFill>
              <w14:schemeClr w14:val="tx1"/>
            </w14:solidFill>
          </w14:textFill>
        </w:rPr>
        <w:t>日前向采购人提出询问，采购人将在202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7 </w:t>
      </w:r>
      <w:r>
        <w:rPr>
          <w:rFonts w:hint="eastAsia" w:asciiTheme="majorEastAsia" w:hAnsiTheme="majorEastAsia" w:eastAsia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5 </w:t>
      </w:r>
      <w:r>
        <w:rPr>
          <w:rFonts w:hint="eastAsia" w:asciiTheme="majorEastAsia" w:hAnsiTheme="majorEastAsia" w:eastAsiaTheme="majorEastAsia"/>
          <w:color w:val="000000" w:themeColor="text1"/>
          <w:sz w:val="24"/>
          <w:szCs w:val="24"/>
          <w:highlight w:val="none"/>
          <w14:textFill>
            <w14:solidFill>
              <w14:schemeClr w14:val="tx1"/>
            </w14:solidFill>
          </w14:textFill>
        </w:rPr>
        <w:t>日前对供应商依法提出的询问作出答复。</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7.2投标人认为采购文件使自己的权益受到损害的，可以在202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日前，以书面形式向采购人提出质疑。采购人将在收到投标人的书面质疑后7个工作日内对投标人依法提出的质疑作出答复，并将通知质疑投标人和其他有关投标人，但答复内容涉及商业秘密的除外。</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7.3采购人可能在202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日前对已发出的招标文件进行必要的澄清或者修改，如澄清或修改时间晚于国家有关法律法规规定的，采购人将顺延提交投标文件的截止时间，并以书面形式通知所有获取招标文件的潜在投标人。</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8、招标文件的修改</w:t>
      </w:r>
      <w:bookmarkEnd w:id="75"/>
      <w:bookmarkEnd w:id="76"/>
      <w:bookmarkEnd w:id="77"/>
      <w:bookmarkEnd w:id="78"/>
      <w:r>
        <w:rPr>
          <w:rFonts w:hint="eastAsia" w:cs="Arial" w:asciiTheme="majorEastAsia" w:hAnsiTheme="majorEastAsia" w:eastAsiaTheme="majorEastAsia"/>
          <w:color w:val="000000" w:themeColor="text1"/>
          <w:sz w:val="24"/>
          <w:szCs w:val="24"/>
          <w:highlight w:val="none"/>
          <w14:textFill>
            <w14:solidFill>
              <w14:schemeClr w14:val="tx1"/>
            </w14:solidFill>
          </w14:textFill>
        </w:rPr>
        <w:t>及澄清</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8.1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在投标截止时间十五日前，采购人可以对招标文件进行修改。</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8.2</w:t>
      </w:r>
      <w:r>
        <w:rPr>
          <w:rFonts w:hint="eastAsia" w:asciiTheme="majorEastAsia" w:hAnsiTheme="majorEastAsia" w:eastAsiaTheme="majorEastAsia"/>
          <w:color w:val="000000" w:themeColor="text1"/>
          <w:sz w:val="24"/>
          <w:szCs w:val="24"/>
          <w:highlight w:val="none"/>
          <w14:textFill>
            <w14:solidFill>
              <w14:schemeClr w14:val="tx1"/>
            </w14:solidFill>
          </w14:textFill>
        </w:rPr>
        <w:t>采购人有权按照法定的要求推迟投标截止日期和开标日期。</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8.3</w:t>
      </w:r>
      <w:bookmarkStart w:id="79" w:name="_Toc462564072"/>
      <w:bookmarkStart w:id="80" w:name="_Toc120614216"/>
      <w:bookmarkStart w:id="81" w:name="_Toc16938529"/>
      <w:bookmarkStart w:id="82" w:name="_Toc20823285"/>
      <w:bookmarkStart w:id="83" w:name="_Toc513029213"/>
      <w:r>
        <w:rPr>
          <w:rFonts w:hint="eastAsia" w:asciiTheme="majorEastAsia" w:hAnsiTheme="majorEastAsia" w:eastAsiaTheme="majorEastAsia"/>
          <w:color w:val="000000" w:themeColor="text1"/>
          <w:sz w:val="24"/>
          <w:szCs w:val="24"/>
          <w:highlight w:val="none"/>
          <w14:textFill>
            <w14:solidFill>
              <w14:schemeClr w14:val="tx1"/>
            </w14:solidFill>
          </w14:textFill>
        </w:rPr>
        <w:t>招标文件的修改将在江苏政府采购网公布，补充文件将作为招标文件的组成部分，并对投标人具有约束力。</w:t>
      </w:r>
    </w:p>
    <w:p>
      <w:pPr>
        <w:pageBreakBefore w:val="0"/>
        <w:bidi w:val="0"/>
        <w:spacing w:line="400" w:lineRule="exact"/>
        <w:ind w:left="0" w:leftChars="0" w:right="0" w:rightChars="0" w:firstLine="480" w:firstLineChars="200"/>
        <w:jc w:val="center"/>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三、投标文件的编制</w:t>
      </w:r>
      <w:bookmarkEnd w:id="79"/>
      <w:bookmarkEnd w:id="80"/>
      <w:bookmarkEnd w:id="81"/>
      <w:bookmarkEnd w:id="82"/>
      <w:bookmarkEnd w:id="83"/>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84" w:name="_Toc513029214"/>
      <w:bookmarkStart w:id="85" w:name="_Toc462564073"/>
      <w:bookmarkStart w:id="86" w:name="_Toc16938530"/>
      <w:bookmarkStart w:id="87" w:name="_Toc20823286"/>
      <w:r>
        <w:rPr>
          <w:rFonts w:hint="eastAsia" w:cs="Arial" w:asciiTheme="majorEastAsia" w:hAnsiTheme="majorEastAsia" w:eastAsiaTheme="majorEastAsia"/>
          <w:color w:val="000000" w:themeColor="text1"/>
          <w:sz w:val="24"/>
          <w:szCs w:val="24"/>
          <w:highlight w:val="none"/>
          <w14:textFill>
            <w14:solidFill>
              <w14:schemeClr w14:val="tx1"/>
            </w14:solidFill>
          </w14:textFill>
        </w:rPr>
        <w:t>9、投标文件的语言及度量衡单位</w:t>
      </w:r>
      <w:bookmarkEnd w:id="84"/>
      <w:bookmarkEnd w:id="85"/>
      <w:bookmarkEnd w:id="86"/>
      <w:bookmarkEnd w:id="87"/>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9.1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投标人提交的投标文件以及投标人与采购人就有关投标的所有来往通知、函件和文件均应使用简体中文。</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9.2</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除技术性能另有规定外，投标文件所使用的度量衡单位，均须采用国家法定计量单位。</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88" w:name="_Toc16938531"/>
      <w:bookmarkStart w:id="89" w:name="_Toc513029215"/>
      <w:bookmarkStart w:id="90" w:name="_Toc20823287"/>
      <w:bookmarkStart w:id="91" w:name="_Toc462564074"/>
      <w:r>
        <w:rPr>
          <w:rFonts w:hint="eastAsia" w:cs="Arial" w:asciiTheme="majorEastAsia" w:hAnsiTheme="majorEastAsia" w:eastAsiaTheme="majorEastAsia"/>
          <w:color w:val="000000" w:themeColor="text1"/>
          <w:sz w:val="24"/>
          <w:szCs w:val="24"/>
          <w:highlight w:val="none"/>
          <w14:textFill>
            <w14:solidFill>
              <w14:schemeClr w14:val="tx1"/>
            </w14:solidFill>
          </w14:textFill>
        </w:rPr>
        <w:t>10、投标文件构成</w:t>
      </w:r>
      <w:bookmarkEnd w:id="88"/>
      <w:bookmarkEnd w:id="89"/>
      <w:bookmarkEnd w:id="90"/>
      <w:bookmarkEnd w:id="91"/>
    </w:p>
    <w:p>
      <w:pPr>
        <w:pStyle w:val="16"/>
        <w:pageBreakBefore w:val="0"/>
        <w:bidi w:val="0"/>
        <w:spacing w:line="400" w:lineRule="exact"/>
        <w:ind w:left="0" w:leftChars="0" w:right="0" w:rightChars="0" w:firstLine="480" w:firstLineChars="200"/>
        <w:rPr>
          <w:rFonts w:asciiTheme="majorEastAsia" w:hAnsiTheme="majorEastAsia" w:eastAsiaTheme="majorEastAsia"/>
          <w:color w:val="000000" w:themeColor="text1"/>
          <w:szCs w:val="24"/>
          <w:highlight w:val="none"/>
          <w:u w:val="single"/>
          <w14:textFill>
            <w14:solidFill>
              <w14:schemeClr w14:val="tx1"/>
            </w14:solidFill>
          </w14:textFill>
        </w:rPr>
      </w:pPr>
      <w:r>
        <w:rPr>
          <w:rFonts w:hint="eastAsia" w:asciiTheme="majorEastAsia" w:hAnsiTheme="majorEastAsia" w:eastAsiaTheme="majorEastAsia"/>
          <w:color w:val="000000" w:themeColor="text1"/>
          <w:szCs w:val="24"/>
          <w:highlight w:val="none"/>
          <w:u w:val="single"/>
          <w14:textFill>
            <w14:solidFill>
              <w14:schemeClr w14:val="tx1"/>
            </w14:solidFill>
          </w14:textFill>
        </w:rPr>
        <w:t>10.1资格审查文件：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10.1.1、法定代表人身份证明书（原件）及法定代表人身份证（复印件）；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10.1.2、法定代表人授权委托书（原件）及委托代理人身份证（复印件）（如有授权）；</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10.1.3、投标人企业法人营业执照；</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10.1.4、投标人资格声明（原件）；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w:t>
      </w:r>
      <w:r>
        <w:rPr>
          <w:rFonts w:hint="eastAsia" w:asciiTheme="majorEastAsia" w:hAnsiTheme="majorEastAsia" w:eastAsiaTheme="majorEastAsia"/>
          <w:color w:val="000000" w:themeColor="text1"/>
          <w:sz w:val="24"/>
          <w:szCs w:val="24"/>
          <w:highlight w:val="none"/>
          <w:u w:val="single"/>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、财务状况（复印件）；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10.2价格标文件：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10.2.1、报价函（详见投标文件格式）；</w:t>
      </w:r>
    </w:p>
    <w:p>
      <w:pPr>
        <w:pageBreakBefore w:val="0"/>
        <w:numPr>
          <w:ilvl w:val="0"/>
          <w:numId w:val="12"/>
        </w:numPr>
        <w:bidi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bookmarkStart w:id="92" w:name="_Hlt26668975"/>
      <w:bookmarkEnd w:id="92"/>
      <w:bookmarkStart w:id="93" w:name="_Hlt26670360"/>
      <w:bookmarkEnd w:id="93"/>
      <w:bookmarkStart w:id="94" w:name="_Hlt26954838"/>
      <w:bookmarkEnd w:id="94"/>
      <w:bookmarkStart w:id="95" w:name="_Toc49090508"/>
      <w:bookmarkStart w:id="96" w:name="_Toc14577355"/>
      <w:r>
        <w:rPr>
          <w:rFonts w:hint="eastAsia" w:ascii="宋体" w:hAnsi="宋体" w:cs="Arial"/>
          <w:color w:val="000000" w:themeColor="text1"/>
          <w:sz w:val="24"/>
          <w:szCs w:val="24"/>
          <w:highlight w:val="none"/>
          <w14:textFill>
            <w14:solidFill>
              <w14:schemeClr w14:val="tx1"/>
            </w14:solidFill>
          </w14:textFill>
        </w:rPr>
        <w:t>投标文件的编写、份数和签署</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投标人应按本招标文件规定的要求编写。应递交的有关文件如未特别注明为原件的，可提交复印件。未按招标文件规定的格式填写、编制、制作、装订、提交投标文件，或投标文件字迹模糊不清的，该投标文件将被拒收或拒评。</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投标文件正本和全部副本均应使用不能擦去的墨料或墨水打印、书写或复印。正本必须用A4幅面纸张打印（图纸、彩页等非A4幅面的材料在每页加盖公章后可另册装订），应编制封面、目录、页码。副本可以用正本的完整复印件，否则，该投标文件将被拒收或拒评。</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11.3全套投标文件应无涂改和行间插字，有改动时，修改处应由法定代表人或授权代表签名并加盖公章。否则，该投标文件将被拒收或拒评。</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投标文件应由投标人的法定代表人或者其授权委托人签字并加盖公章（合同章，投标专用章等其它类型章无效）。一个授权委托人在同一个项目中只能接受一个投标人的委托参加投标，否则该授权委托人被委托的所有投标将被拒绝。</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11.5投标人提交的投标文件应由资格审查文件和价格标二部分组成，投标人</w:t>
      </w:r>
      <w:r>
        <w:rPr>
          <w:rFonts w:hint="eastAsia" w:ascii="宋体" w:hAnsi="宋体" w:cs="宋体"/>
          <w:color w:val="000000" w:themeColor="text1"/>
          <w:sz w:val="24"/>
          <w:szCs w:val="24"/>
          <w:highlight w:val="none"/>
          <w:lang w:eastAsia="zh-CN"/>
          <w14:textFill>
            <w14:solidFill>
              <w14:schemeClr w14:val="tx1"/>
            </w14:solidFill>
          </w14:textFill>
        </w:rPr>
        <w:t>可以</w:t>
      </w:r>
      <w:r>
        <w:rPr>
          <w:rFonts w:hint="eastAsia" w:ascii="宋体" w:hAnsi="宋体" w:cs="宋体"/>
          <w:color w:val="000000" w:themeColor="text1"/>
          <w:sz w:val="24"/>
          <w:szCs w:val="24"/>
          <w:highlight w:val="none"/>
          <w14:textFill>
            <w14:solidFill>
              <w14:schemeClr w14:val="tx1"/>
            </w14:solidFill>
          </w14:textFill>
        </w:rPr>
        <w:t>将资格审查文件、价格标</w:t>
      </w:r>
      <w:r>
        <w:rPr>
          <w:rFonts w:hint="eastAsia" w:ascii="宋体" w:hAnsi="宋体" w:cs="宋体"/>
          <w:color w:val="000000" w:themeColor="text1"/>
          <w:sz w:val="24"/>
          <w:szCs w:val="24"/>
          <w:highlight w:val="none"/>
          <w:lang w:eastAsia="zh-CN"/>
          <w14:textFill>
            <w14:solidFill>
              <w14:schemeClr w14:val="tx1"/>
            </w14:solidFill>
          </w14:textFill>
        </w:rPr>
        <w:t>一起</w:t>
      </w:r>
      <w:r>
        <w:rPr>
          <w:rFonts w:hint="eastAsia" w:ascii="宋体" w:hAnsi="宋体" w:cs="宋体"/>
          <w:color w:val="000000" w:themeColor="text1"/>
          <w:sz w:val="24"/>
          <w:szCs w:val="24"/>
          <w:highlight w:val="none"/>
          <w14:textFill>
            <w14:solidFill>
              <w14:schemeClr w14:val="tx1"/>
            </w14:solidFill>
          </w14:textFill>
        </w:rPr>
        <w:t>装订成册。投标文件封面应标明“招标项目名称”、“投标人名称”、“资格审查文件”或“价格标”。正本与副本如有不一致，则以正本为准。正本壹份，副本</w:t>
      </w:r>
      <w:r>
        <w:rPr>
          <w:rFonts w:hint="eastAsia" w:ascii="宋体" w:hAnsi="宋体" w:cs="宋体"/>
          <w:color w:val="000000" w:themeColor="text1"/>
          <w:sz w:val="24"/>
          <w:szCs w:val="24"/>
          <w:highlight w:val="none"/>
          <w:lang w:eastAsia="zh-CN"/>
          <w14:textFill>
            <w14:solidFill>
              <w14:schemeClr w14:val="tx1"/>
            </w14:solidFill>
          </w14:textFill>
        </w:rPr>
        <w:t>壹</w:t>
      </w:r>
      <w:r>
        <w:rPr>
          <w:rFonts w:hint="eastAsia" w:ascii="宋体" w:hAnsi="宋体" w:cs="宋体"/>
          <w:color w:val="000000" w:themeColor="text1"/>
          <w:sz w:val="24"/>
          <w:szCs w:val="24"/>
          <w:highlight w:val="none"/>
          <w14:textFill>
            <w14:solidFill>
              <w14:schemeClr w14:val="tx1"/>
            </w14:solidFill>
          </w14:textFill>
        </w:rPr>
        <w:t>份。</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12、</w:t>
      </w:r>
      <w:bookmarkEnd w:id="95"/>
      <w:bookmarkEnd w:id="96"/>
      <w:bookmarkStart w:id="97" w:name="_Hlt26954731"/>
      <w:bookmarkEnd w:id="97"/>
      <w:bookmarkStart w:id="98" w:name="_Hlt26954846"/>
      <w:bookmarkEnd w:id="98"/>
      <w:bookmarkStart w:id="99" w:name="_Hlt26954848"/>
      <w:bookmarkEnd w:id="99"/>
      <w:bookmarkStart w:id="100" w:name="_Hlt26670482"/>
      <w:bookmarkEnd w:id="100"/>
      <w:bookmarkStart w:id="101" w:name="_Hlt26670486"/>
      <w:bookmarkEnd w:id="101"/>
      <w:r>
        <w:rPr>
          <w:rFonts w:hint="eastAsia" w:cs="Arial" w:asciiTheme="majorEastAsia" w:hAnsiTheme="majorEastAsia" w:eastAsiaTheme="majorEastAsia"/>
          <w:color w:val="000000" w:themeColor="text1"/>
          <w:sz w:val="24"/>
          <w:szCs w:val="24"/>
          <w:highlight w:val="none"/>
          <w14:textFill>
            <w14:solidFill>
              <w14:schemeClr w14:val="tx1"/>
            </w14:solidFill>
          </w14:textFill>
        </w:rPr>
        <w:t>投标报价</w:t>
      </w:r>
    </w:p>
    <w:p>
      <w:pPr>
        <w:pageBreakBefore w:val="0"/>
        <w:bidi w:val="0"/>
        <w:adjustRightInd w:val="0"/>
        <w:snapToGrid w:val="0"/>
        <w:spacing w:line="400" w:lineRule="exact"/>
        <w:ind w:left="0" w:leftChars="0" w:right="0" w:rightChars="0" w:firstLine="480" w:firstLineChars="200"/>
        <w:jc w:val="left"/>
        <w:rPr>
          <w:rFonts w:ascii="Calibri" w:hAnsi="Calibri"/>
          <w:color w:val="000000" w:themeColor="text1"/>
          <w:sz w:val="24"/>
          <w:szCs w:val="24"/>
          <w:highlight w:val="none"/>
          <w14:textFill>
            <w14:solidFill>
              <w14:schemeClr w14:val="tx1"/>
            </w14:solidFill>
          </w14:textFill>
        </w:rPr>
      </w:pPr>
      <w:bookmarkStart w:id="102" w:name="_Toc49090510"/>
      <w:bookmarkStart w:id="103" w:name="_Toc14577359"/>
      <w:r>
        <w:rPr>
          <w:rFonts w:hint="eastAsia" w:hAnsi="宋体"/>
          <w:color w:val="000000" w:themeColor="text1"/>
          <w:sz w:val="24"/>
          <w:highlight w:val="none"/>
          <w14:textFill>
            <w14:solidFill>
              <w14:schemeClr w14:val="tx1"/>
            </w14:solidFill>
          </w14:textFill>
        </w:rPr>
        <w:t>本工程项目采用固定单价报价。投标人报价时应充分考虑施工期间各类建材的市场风险。</w:t>
      </w:r>
      <w:r>
        <w:rPr>
          <w:rFonts w:hint="eastAsia" w:ascii="Calibri" w:hAnsi="Calibri"/>
          <w:color w:val="000000" w:themeColor="text1"/>
          <w:sz w:val="24"/>
          <w:szCs w:val="24"/>
          <w:highlight w:val="none"/>
          <w14:textFill>
            <w14:solidFill>
              <w14:schemeClr w14:val="tx1"/>
            </w14:solidFill>
          </w14:textFill>
        </w:rPr>
        <w:t>报价表中的单价或金额，应包括所需人工费、材料费、施工机具使用费、设备维护费、管理费、利润和税金，以及为完成本工程所涉及的风险费用。报价时需充分考虑但不限于下列因素：</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12.1报价应包括投标人对采购货物或产品的材料（设备）费、安装调试、运输到指定地点的装运费用（含装卸力资）、相关安装辅助材料费、成品保护费、</w:t>
      </w:r>
      <w:r>
        <w:rPr>
          <w:rFonts w:hint="eastAsia" w:asciiTheme="majorEastAsia" w:hAnsiTheme="majorEastAsia" w:eastAsiaTheme="majorEastAsia"/>
          <w:color w:val="000000" w:themeColor="text1"/>
          <w:kern w:val="0"/>
          <w:sz w:val="24"/>
          <w:szCs w:val="24"/>
          <w:highlight w:val="none"/>
          <w14:textFill>
            <w14:solidFill>
              <w14:schemeClr w14:val="tx1"/>
            </w14:solidFill>
          </w14:textFill>
        </w:rPr>
        <w:t>售后服务及</w:t>
      </w:r>
      <w:r>
        <w:rPr>
          <w:rFonts w:hint="eastAsia" w:asciiTheme="majorEastAsia" w:hAnsiTheme="majorEastAsia" w:eastAsiaTheme="majorEastAsia"/>
          <w:color w:val="000000" w:themeColor="text1"/>
          <w:sz w:val="24"/>
          <w:szCs w:val="24"/>
          <w:highlight w:val="none"/>
          <w14:textFill>
            <w14:solidFill>
              <w14:schemeClr w14:val="tx1"/>
            </w14:solidFill>
          </w14:textFill>
        </w:rPr>
        <w:t>、税费、售后服务等所有预见和不可预见的费用，即招标物交付使用前的所有费用以及免保期内的服务费用等包含响应招标文件采购要求的所有费用；在安装、调试、验收过程中，如发现有漏项、缺件，部件不符，卖方应无条件、无偿补发，由此所发生的费用中标人自行承担。</w:t>
      </w:r>
    </w:p>
    <w:p>
      <w:pPr>
        <w:pageBreakBefore w:val="0"/>
        <w:bidi w:val="0"/>
        <w:snapToGrid w:val="0"/>
        <w:spacing w:line="400" w:lineRule="exact"/>
        <w:ind w:left="0" w:leftChars="0" w:right="0" w:rightChars="0" w:firstLine="480" w:firstLineChars="200"/>
        <w:rPr>
          <w:rFonts w:ascii="宋体" w:hAnsi="宋体"/>
          <w:snapToGrid w:val="0"/>
          <w:color w:val="000000" w:themeColor="text1"/>
          <w:kern w:val="0"/>
          <w:sz w:val="24"/>
          <w:szCs w:val="24"/>
          <w:highlight w:val="none"/>
          <w14:textFill>
            <w14:solidFill>
              <w14:schemeClr w14:val="tx1"/>
            </w14:solidFill>
          </w14:textFill>
        </w:rPr>
      </w:pPr>
      <w:r>
        <w:rPr>
          <w:rFonts w:hint="eastAsia" w:ascii="宋体" w:hAnsi="宋体"/>
          <w:snapToGrid w:val="0"/>
          <w:color w:val="000000" w:themeColor="text1"/>
          <w:kern w:val="0"/>
          <w:sz w:val="24"/>
          <w:szCs w:val="24"/>
          <w:highlight w:val="none"/>
          <w14:textFill>
            <w14:solidFill>
              <w14:schemeClr w14:val="tx1"/>
            </w14:solidFill>
          </w14:textFill>
        </w:rPr>
        <w:t>12.2本项目不接受任何有选择的报价。</w:t>
      </w:r>
    </w:p>
    <w:p>
      <w:pPr>
        <w:pageBreakBefore w:val="0"/>
        <w:widowControl/>
        <w:bidi w:val="0"/>
        <w:spacing w:line="400" w:lineRule="exact"/>
        <w:ind w:left="0" w:leftChars="0" w:right="0" w:rightChars="0"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12.3本次投标仅一次报价（最终报价）。</w:t>
      </w:r>
    </w:p>
    <w:p>
      <w:pPr>
        <w:pageBreakBefore w:val="0"/>
        <w:bidi w:val="0"/>
        <w:spacing w:line="400" w:lineRule="exact"/>
        <w:ind w:left="0" w:leftChars="0" w:right="0" w:rightChars="0" w:firstLine="480" w:firstLineChars="200"/>
        <w:rPr>
          <w:rFonts w:cs="Arial" w:asciiTheme="majorEastAsia" w:hAnsiTheme="majorEastAsia" w:eastAsiaTheme="majorEastAsia"/>
          <w:bCs/>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bCs/>
          <w:color w:val="000000" w:themeColor="text1"/>
          <w:sz w:val="24"/>
          <w:szCs w:val="24"/>
          <w:highlight w:val="none"/>
          <w14:textFill>
            <w14:solidFill>
              <w14:schemeClr w14:val="tx1"/>
            </w14:solidFill>
          </w14:textFill>
        </w:rPr>
        <w:t xml:space="preserve"> 13、投标文件的密封和递交</w:t>
      </w:r>
    </w:p>
    <w:p>
      <w:pPr>
        <w:pageBreakBefore w:val="0"/>
        <w:bidi w:val="0"/>
        <w:spacing w:line="400" w:lineRule="exact"/>
        <w:ind w:left="0" w:leftChars="0" w:right="0" w:rightChars="0"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13.1投标人</w:t>
      </w:r>
      <w:r>
        <w:rPr>
          <w:rFonts w:hint="eastAsia" w:ascii="宋体" w:hAnsi="宋体"/>
          <w:color w:val="000000" w:themeColor="text1"/>
          <w:sz w:val="24"/>
          <w:szCs w:val="24"/>
          <w:highlight w:val="none"/>
          <w:lang w:eastAsia="zh-CN"/>
          <w14:textFill>
            <w14:solidFill>
              <w14:schemeClr w14:val="tx1"/>
            </w14:solidFill>
          </w14:textFill>
        </w:rPr>
        <w:t>可</w:t>
      </w:r>
      <w:r>
        <w:rPr>
          <w:rFonts w:hint="eastAsia" w:ascii="宋体" w:hAnsi="宋体"/>
          <w:color w:val="000000" w:themeColor="text1"/>
          <w:sz w:val="24"/>
          <w:szCs w:val="24"/>
          <w:highlight w:val="none"/>
          <w14:textFill>
            <w14:solidFill>
              <w14:schemeClr w14:val="tx1"/>
            </w14:solidFill>
          </w14:textFill>
        </w:rPr>
        <w:t>将资格审查、价格标</w:t>
      </w:r>
      <w:r>
        <w:rPr>
          <w:rFonts w:hint="eastAsia" w:ascii="宋体" w:hAnsi="宋体"/>
          <w:color w:val="000000" w:themeColor="text1"/>
          <w:sz w:val="24"/>
          <w:szCs w:val="24"/>
          <w:highlight w:val="none"/>
          <w:lang w:eastAsia="zh-CN"/>
          <w14:textFill>
            <w14:solidFill>
              <w14:schemeClr w14:val="tx1"/>
            </w14:solidFill>
          </w14:textFill>
        </w:rPr>
        <w:t>一起</w:t>
      </w:r>
      <w:r>
        <w:rPr>
          <w:rFonts w:hint="eastAsia" w:ascii="宋体" w:hAnsi="宋体"/>
          <w:color w:val="000000" w:themeColor="text1"/>
          <w:sz w:val="24"/>
          <w:szCs w:val="24"/>
          <w:highlight w:val="none"/>
          <w14:textFill>
            <w14:solidFill>
              <w14:schemeClr w14:val="tx1"/>
            </w14:solidFill>
          </w14:textFill>
        </w:rPr>
        <w:t>密封，</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13.2投标文件密封袋封面加盖单位公章，法定代表人或授权委托人签字。</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13.3投标人应将投标文件按本招标文件要求的时间和地址送至开标地点，否则，投标将被拒绝。不接收邮寄或快递的投标。</w:t>
      </w:r>
    </w:p>
    <w:p>
      <w:pPr>
        <w:pageBreakBefore w:val="0"/>
        <w:bidi w:val="0"/>
        <w:spacing w:line="400" w:lineRule="exact"/>
        <w:ind w:left="0" w:leftChars="0" w:right="0" w:rightChars="0"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法人代表或授权委托人须在本招标文件规定的时间、地点准时到会并出示身份证原件以示出席，否则，其投标将被拒绝。</w:t>
      </w:r>
      <w:r>
        <w:rPr>
          <w:rFonts w:hint="eastAsia" w:ascii="宋体" w:hAnsi="宋体"/>
          <w:color w:val="000000" w:themeColor="text1"/>
          <w:sz w:val="24"/>
          <w:szCs w:val="24"/>
          <w:highlight w:val="none"/>
          <w:lang w:val="en-US" w:eastAsia="zh-CN"/>
          <w14:textFill>
            <w14:solidFill>
              <w14:schemeClr w14:val="tx1"/>
            </w14:solidFill>
          </w14:textFill>
        </w:rPr>
        <w:t>.</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投标人一旦递交投标文件，就意味着投标人全面接受招标文件的约束。</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投标文件的修改与撤回</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在投标截止时间前，可以对所提交的投标文件进行修改或者撤回，并书面通知招标人，否则视为未修改或未撤回。修改的内容应为非实质性的，并按本须知要求签署、盖章、密封，并应在封套上加注“修改”或“撤回”字样，该修改作为投标文件的组成部分。</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（2）投标人在投标截止期后不得修改、撤回投标文件。</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（3）投标人撤回投标文件的，自收到投标人书面撤回通知之日起五日内退还已收取的投标保证金。投标人在投标截止期后修改投标文件的，其投标被拒绝并不予退还投标保证金。</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14、投标保证金</w:t>
      </w:r>
      <w:bookmarkEnd w:id="102"/>
      <w:bookmarkEnd w:id="103"/>
      <w:r>
        <w:rPr>
          <w:rFonts w:hint="eastAsia" w:cs="Arial" w:asciiTheme="majorEastAsia" w:hAnsiTheme="majorEastAsia" w:eastAsiaTheme="majorEastAsia"/>
          <w:color w:val="000000" w:themeColor="text1"/>
          <w:sz w:val="24"/>
          <w:szCs w:val="24"/>
          <w:highlight w:val="none"/>
          <w:lang w:eastAsia="zh-CN"/>
          <w14:textFill>
            <w14:solidFill>
              <w14:schemeClr w14:val="tx1"/>
            </w14:solidFill>
          </w14:textFill>
        </w:rPr>
        <w:t>：本项目不收投标保证金。</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04" w:name="_Hlt26954734"/>
      <w:bookmarkEnd w:id="104"/>
      <w:bookmarkStart w:id="105" w:name="_Hlt26954850"/>
      <w:bookmarkEnd w:id="105"/>
      <w:bookmarkStart w:id="106" w:name="_Hlt26670489"/>
      <w:bookmarkEnd w:id="106"/>
      <w:bookmarkStart w:id="107" w:name="_Toc49090511"/>
      <w:bookmarkStart w:id="108" w:name="_Toc14577360"/>
      <w:r>
        <w:rPr>
          <w:rFonts w:hint="eastAsia" w:cs="Arial" w:asciiTheme="majorEastAsia" w:hAnsiTheme="majorEastAsia" w:eastAsiaTheme="majorEastAsia"/>
          <w:color w:val="000000" w:themeColor="text1"/>
          <w:sz w:val="24"/>
          <w:szCs w:val="24"/>
          <w:highlight w:val="none"/>
          <w14:textFill>
            <w14:solidFill>
              <w14:schemeClr w14:val="tx1"/>
            </w14:solidFill>
          </w14:textFill>
        </w:rPr>
        <w:t>15、投标有效期</w:t>
      </w:r>
      <w:bookmarkEnd w:id="107"/>
      <w:bookmarkEnd w:id="108"/>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15.1</w:t>
      </w: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 投标有效期为采购人规定的开标之日后六十天。投标有效期比规定短的将被视为非响应性投标而予以拒绝。</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15.2</w:t>
      </w: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 在特殊情况下，采购人于原投标有效期满之前，可向投标人提出延长投标有效期的要求。这种要求与答复均应采用书面形式。投标人可以拒绝采购人的这一要求而放弃投标，</w:t>
      </w:r>
      <w:r>
        <w:rPr>
          <w:rFonts w:hint="eastAsia" w:asciiTheme="majorEastAsia" w:hAnsiTheme="majorEastAsia" w:eastAsiaTheme="majorEastAsia"/>
          <w:color w:val="000000" w:themeColor="text1"/>
          <w:sz w:val="24"/>
          <w:szCs w:val="24"/>
          <w:highlight w:val="none"/>
          <w14:textFill>
            <w14:solidFill>
              <w14:schemeClr w14:val="tx1"/>
            </w14:solidFill>
          </w14:textFill>
        </w:rPr>
        <w:t>采购人在接到投标人书面答复后，将在原投标有效期满后五日内</w:t>
      </w:r>
      <w:r>
        <w:rPr>
          <w:rFonts w:hint="eastAsia" w:asciiTheme="majorEastAsia" w:hAnsiTheme="majorEastAsia" w:eastAsiaTheme="majorEastAsia"/>
          <w:bCs/>
          <w:color w:val="000000" w:themeColor="text1"/>
          <w:sz w:val="24"/>
          <w:szCs w:val="24"/>
          <w:highlight w:val="none"/>
          <w14:textFill>
            <w14:solidFill>
              <w14:schemeClr w14:val="tx1"/>
            </w14:solidFill>
          </w14:textFill>
        </w:rPr>
        <w:t>无息退还其投标保证金</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bCs/>
          <w:color w:val="000000" w:themeColor="text1"/>
          <w:sz w:val="24"/>
          <w:szCs w:val="24"/>
          <w:highlight w:val="none"/>
          <w14:textFill>
            <w14:solidFill>
              <w14:schemeClr w14:val="tx1"/>
            </w14:solidFill>
          </w14:textFill>
        </w:rPr>
        <w:t>同意延长投标有效期的投标人既不能要求也不允许修改其投标文件。</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p>
    <w:p>
      <w:pPr>
        <w:pageBreakBefore w:val="0"/>
        <w:bidi w:val="0"/>
        <w:spacing w:line="400" w:lineRule="exact"/>
        <w:ind w:left="0" w:leftChars="0" w:right="0" w:rightChars="0" w:firstLine="480" w:firstLineChars="200"/>
        <w:jc w:val="center"/>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09" w:name="_Hlt26954852"/>
      <w:bookmarkEnd w:id="109"/>
      <w:bookmarkStart w:id="110" w:name="_Hlt26954739"/>
      <w:bookmarkEnd w:id="110"/>
      <w:bookmarkStart w:id="111" w:name="_Toc513029229"/>
      <w:bookmarkStart w:id="112" w:name="_Toc120614218"/>
      <w:bookmarkStart w:id="113" w:name="_Toc20823301"/>
      <w:bookmarkStart w:id="114" w:name="_Toc16938545"/>
      <w:r>
        <w:rPr>
          <w:rFonts w:hint="eastAsia" w:cs="Arial" w:asciiTheme="majorEastAsia" w:hAnsiTheme="majorEastAsia" w:eastAsiaTheme="majorEastAsia"/>
          <w:color w:val="000000" w:themeColor="text1"/>
          <w:sz w:val="24"/>
          <w:szCs w:val="24"/>
          <w:highlight w:val="none"/>
          <w14:textFill>
            <w14:solidFill>
              <w14:schemeClr w14:val="tx1"/>
            </w14:solidFill>
          </w14:textFill>
        </w:rPr>
        <w:t>四、开标与评标</w:t>
      </w:r>
      <w:bookmarkEnd w:id="111"/>
      <w:bookmarkEnd w:id="112"/>
      <w:bookmarkEnd w:id="113"/>
      <w:bookmarkEnd w:id="114"/>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15" w:name="_Toc16938546"/>
      <w:bookmarkStart w:id="116" w:name="_Toc513029230"/>
      <w:bookmarkStart w:id="117" w:name="_Toc20823302"/>
      <w:bookmarkStart w:id="118" w:name="_Toc513029231"/>
      <w:bookmarkStart w:id="119" w:name="_Toc16938547"/>
      <w:bookmarkStart w:id="120" w:name="_Toc20823303"/>
      <w:r>
        <w:rPr>
          <w:rFonts w:hint="eastAsia" w:cs="Arial" w:asciiTheme="majorEastAsia" w:hAnsiTheme="majorEastAsia" w:eastAsiaTheme="majorEastAsia"/>
          <w:color w:val="000000" w:themeColor="text1"/>
          <w:sz w:val="24"/>
          <w:szCs w:val="24"/>
          <w:highlight w:val="none"/>
          <w14:textFill>
            <w14:solidFill>
              <w14:schemeClr w14:val="tx1"/>
            </w14:solidFill>
          </w14:textFill>
        </w:rPr>
        <w:t>16、开标</w:t>
      </w:r>
      <w:bookmarkEnd w:id="115"/>
      <w:bookmarkEnd w:id="116"/>
      <w:bookmarkEnd w:id="117"/>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（1）开标时投标人可派授权代表参加开标会。投标人参加开标的代表应出示个人身份证原件，并应签名报到以证明其出席。</w:t>
      </w:r>
    </w:p>
    <w:p>
      <w:pPr>
        <w:pageBreakBefore w:val="0"/>
        <w:bidi w:val="0"/>
        <w:spacing w:line="400" w:lineRule="exact"/>
        <w:ind w:left="0" w:leftChars="0" w:right="0" w:rightChars="0" w:firstLine="480" w:firstLineChars="200"/>
        <w:rPr>
          <w:rFonts w:hint="eastAsia"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（2）开标时，由投标人或者其推选的代表检查投标文件的密封情况；经确认无误后，由采购人或者采购代理机构工作人员当众拆封，宣布投标人名称、投标价格和招标文件规定的需要宣布的其他内容。</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（3） 投标人在报价时不允许采用选择性报价，否则将被视为无效投标。。</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（4）招标人将做开标记录。</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17、评标委员会</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17.1开标后，采购人将立即组织评标委员会（以下简称评委会）进行评标。</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17.2 评委会由</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采购人组织</w:t>
      </w:r>
      <w:r>
        <w:rPr>
          <w:rFonts w:hint="eastAsia" w:asciiTheme="majorEastAsia" w:hAnsiTheme="majorEastAsia" w:eastAsiaTheme="majorEastAsia"/>
          <w:color w:val="000000" w:themeColor="text1"/>
          <w:sz w:val="24"/>
          <w:szCs w:val="24"/>
          <w:highlight w:val="none"/>
          <w14:textFill>
            <w14:solidFill>
              <w14:schemeClr w14:val="tx1"/>
            </w14:solidFill>
          </w14:textFill>
        </w:rPr>
        <w:t>，且人员构成符合采购有关规定。</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17.3评委会独立工作，负责评审所有投标文件并确定中标人。</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18、评标过程的保密与公正</w:t>
      </w:r>
    </w:p>
    <w:bookmarkEnd w:id="118"/>
    <w:bookmarkEnd w:id="119"/>
    <w:bookmarkEnd w:id="120"/>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18.1</w:t>
      </w:r>
      <w:r>
        <w:rPr>
          <w:rFonts w:hint="eastAsia" w:asciiTheme="majorEastAsia" w:hAnsiTheme="majorEastAsia" w:eastAsiaTheme="majorEastAsia"/>
          <w:bCs/>
          <w:color w:val="000000" w:themeColor="text1"/>
          <w:sz w:val="24"/>
          <w:szCs w:val="24"/>
          <w:highlight w:val="none"/>
          <w14:textFill>
            <w14:solidFill>
              <w14:schemeClr w14:val="tx1"/>
            </w14:solidFill>
          </w14:textFill>
        </w:rPr>
        <w:t>公开开标后，直至向中标的投标人授予合同时止，凡是与审查、澄清、评价和比较投标的有关资料以及授标建议等，采购人、评委、采购代理机构均不得向投标人或与评标无关的其他人员透露。</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18.2</w:t>
      </w:r>
      <w:r>
        <w:rPr>
          <w:rFonts w:hint="eastAsia" w:asciiTheme="majorEastAsia" w:hAnsiTheme="majorEastAsia" w:eastAsiaTheme="majorEastAsia"/>
          <w:bCs/>
          <w:color w:val="000000" w:themeColor="text1"/>
          <w:sz w:val="24"/>
          <w:szCs w:val="24"/>
          <w:highlight w:val="none"/>
          <w14:textFill>
            <w14:solidFill>
              <w14:schemeClr w14:val="tx1"/>
            </w14:solidFill>
          </w14:textFill>
        </w:rPr>
        <w:t>由采购人代表对投标人资格性、符合性审查，对未通过审查的供应商，应现场告知原因。</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18.3在评标过程中，投标人不得以任何行为影响评标过程，否则其投标文件将被作为无效投标文件。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18.4在评标期间，采购人或采购代理机构将设专门人员与投标人联系。</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18.5采购人代表现场宣布评标结果。</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21" w:name="_Toc20823304"/>
      <w:bookmarkStart w:id="122" w:name="_Toc16938548"/>
      <w:bookmarkStart w:id="123" w:name="_Toc513029232"/>
      <w:r>
        <w:rPr>
          <w:rFonts w:hint="eastAsia" w:cs="Arial" w:asciiTheme="majorEastAsia" w:hAnsiTheme="majorEastAsia" w:eastAsiaTheme="majorEastAsia"/>
          <w:color w:val="000000" w:themeColor="text1"/>
          <w:sz w:val="24"/>
          <w:szCs w:val="24"/>
          <w:highlight w:val="none"/>
          <w14:textFill>
            <w14:solidFill>
              <w14:schemeClr w14:val="tx1"/>
            </w14:solidFill>
          </w14:textFill>
        </w:rPr>
        <w:t>19、投标的澄清</w:t>
      </w:r>
      <w:bookmarkEnd w:id="121"/>
      <w:bookmarkEnd w:id="122"/>
      <w:bookmarkEnd w:id="123"/>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19.</w:t>
      </w:r>
      <w:r>
        <w:rPr>
          <w:rFonts w:asciiTheme="majorEastAsia" w:hAnsiTheme="majorEastAsia" w:eastAsiaTheme="majorEastAsia"/>
          <w:color w:val="000000" w:themeColor="text1"/>
          <w:sz w:val="24"/>
          <w:szCs w:val="24"/>
          <w:highlight w:val="none"/>
          <w14:textFill>
            <w14:solidFill>
              <w14:schemeClr w14:val="tx1"/>
            </w14:solidFill>
          </w14:textFill>
        </w:rPr>
        <w:t>1</w:t>
      </w:r>
      <w:r>
        <w:rPr>
          <w:rFonts w:hint="eastAsia" w:asciiTheme="majorEastAsia" w:hAnsiTheme="majorEastAsia" w:eastAsiaTheme="majorEastAsia"/>
          <w:color w:val="000000" w:themeColor="text1"/>
          <w:sz w:val="24"/>
          <w:szCs w:val="24"/>
          <w:highlight w:val="none"/>
          <w14:textFill>
            <w14:solidFill>
              <w14:schemeClr w14:val="tx1"/>
            </w14:solidFill>
          </w14:textFill>
        </w:rPr>
        <w:t>评标期间，为有助于对投标文件的审查、评价和比较，评委会有权以书面形式要求投标人对其投标文件进行澄清，但并非对每个投标人都作澄清要求。</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19.2接到评委会澄清要求的投标人应派人按评委会通知的时间和地点做出书面澄清，书面澄清的内容须由投标人法人或授权代表签署，并作为投标文件的补充部分，但投标的价格和实质性的内容不得做任何更改。</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19.3 接到评委会澄清要求的投标人如未按规定做出澄清，其风险由投标人自行承担。</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24" w:name="_Toc16938549"/>
      <w:bookmarkStart w:id="125" w:name="_Toc513029233"/>
      <w:bookmarkStart w:id="126" w:name="_Toc20823305"/>
      <w:r>
        <w:rPr>
          <w:rFonts w:hint="eastAsia" w:cs="Arial" w:asciiTheme="majorEastAsia" w:hAnsiTheme="majorEastAsia" w:eastAsiaTheme="majorEastAsia"/>
          <w:color w:val="000000" w:themeColor="text1"/>
          <w:sz w:val="24"/>
          <w:szCs w:val="24"/>
          <w:highlight w:val="none"/>
          <w14:textFill>
            <w14:solidFill>
              <w14:schemeClr w14:val="tx1"/>
            </w14:solidFill>
          </w14:textFill>
        </w:rPr>
        <w:t>20、对投标文件的初审</w:t>
      </w:r>
      <w:bookmarkEnd w:id="124"/>
      <w:bookmarkEnd w:id="125"/>
      <w:bookmarkEnd w:id="126"/>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20.1</w:t>
      </w:r>
      <w:r>
        <w:rPr>
          <w:rFonts w:hint="eastAsia" w:asciiTheme="majorEastAsia" w:hAnsiTheme="majorEastAsia" w:eastAsiaTheme="majorEastAsia"/>
          <w:bCs/>
          <w:color w:val="000000" w:themeColor="text1"/>
          <w:sz w:val="24"/>
          <w:szCs w:val="24"/>
          <w:highlight w:val="none"/>
          <w14:textFill>
            <w14:solidFill>
              <w14:schemeClr w14:val="tx1"/>
            </w14:solidFill>
          </w14:textFill>
        </w:rPr>
        <w:t>投标文件初审为资格性检查及符合性检查。由评委会负责实施。</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资格性检查：依据法律法规和招标文件的规定，对投标文件中的资格证明文件、投标保证金等进行审查，以确定投标供应商是否具备投标资格。</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凡在</w:t>
      </w:r>
      <w:r>
        <w:rPr>
          <w:rFonts w:hint="eastAsia" w:asciiTheme="majorEastAsia" w:hAnsiTheme="majorEastAsia" w:eastAsiaTheme="majorEastAsia"/>
          <w:color w:val="000000" w:themeColor="text1"/>
          <w:sz w:val="24"/>
          <w:szCs w:val="24"/>
          <w:highlight w:val="none"/>
          <w14:textFill>
            <w14:solidFill>
              <w14:schemeClr w14:val="tx1"/>
            </w14:solidFill>
          </w14:textFill>
        </w:rPr>
        <w:t>投标截止时间节点，已被 “信用中国”网站(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t>www.creditchina.gov.cn</w:t>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color w:val="000000" w:themeColor="text1"/>
          <w:sz w:val="24"/>
          <w:szCs w:val="24"/>
          <w:highlight w:val="none"/>
          <w14:textFill>
            <w14:solidFill>
              <w14:schemeClr w14:val="tx1"/>
            </w14:solidFill>
          </w14:textFill>
        </w:rPr>
        <w:t>)、中华人民</w:t>
      </w:r>
      <w:r>
        <w:rPr>
          <w:rFonts w:asciiTheme="majorEastAsia" w:hAnsiTheme="majorEastAsia" w:eastAsiaTheme="majorEastAsia"/>
          <w:color w:val="000000" w:themeColor="text1"/>
          <w:sz w:val="24"/>
          <w:szCs w:val="24"/>
          <w:highlight w:val="none"/>
          <w14:textFill>
            <w14:solidFill>
              <w14:schemeClr w14:val="tx1"/>
            </w14:solidFill>
          </w14:textFill>
        </w:rPr>
        <w:t>共和国</w:t>
      </w:r>
      <w:r>
        <w:rPr>
          <w:rFonts w:hint="eastAsia" w:asciiTheme="majorEastAsia" w:hAnsiTheme="majorEastAsia" w:eastAsiaTheme="majorEastAsia"/>
          <w:color w:val="000000" w:themeColor="text1"/>
          <w:sz w:val="24"/>
          <w:szCs w:val="24"/>
          <w:highlight w:val="none"/>
          <w14:textFill>
            <w14:solidFill>
              <w14:schemeClr w14:val="tx1"/>
            </w14:solidFill>
          </w14:textFill>
        </w:rPr>
        <w:t>最高人民法院网站</w:t>
      </w:r>
      <w:r>
        <w:rPr>
          <w:rFonts w:asciiTheme="majorEastAsia" w:hAnsiTheme="majorEastAsia" w:eastAsiaTheme="majorEastAsia"/>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"http://www.court.gov.cn/"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http://www.court.gov.cn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等渠道列入信用记录失信被执行人，被中国政府采购网(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t>www.ccgp.gov.cn</w:t>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)等渠道列入政府采购严重违法失信行为记录名单，被中华人民共和国应急管理部网站</w:t>
      </w:r>
      <w:r>
        <w:rPr>
          <w:rFonts w:asciiTheme="majorEastAsia" w:hAnsiTheme="majorEastAsia" w:eastAsiaTheme="majorEastAsia"/>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"http://www.chinasafety.gov.cn/"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http://www.chinasafety.gov.cn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w:t>
      </w:r>
      <w:r>
        <w:rPr>
          <w:rFonts w:asciiTheme="majorEastAsia" w:hAnsiTheme="majorEastAsia" w:eastAsiaTheme="majorEastAsia"/>
          <w:color w:val="000000" w:themeColor="text1"/>
          <w:sz w:val="24"/>
          <w:szCs w:val="24"/>
          <w:highlight w:val="none"/>
          <w14:textFill>
            <w14:solidFill>
              <w14:schemeClr w14:val="tx1"/>
            </w14:solidFill>
          </w14:textFill>
        </w:rPr>
        <w:t>安全生产失信联合惩戒“</w:t>
      </w:r>
      <w:r>
        <w:rPr>
          <w:rFonts w:hint="eastAsia" w:asciiTheme="majorEastAsia" w:hAnsiTheme="majorEastAsia" w:eastAsiaTheme="majorEastAsia"/>
          <w:color w:val="000000" w:themeColor="text1"/>
          <w:sz w:val="24"/>
          <w:szCs w:val="24"/>
          <w:highlight w:val="none"/>
          <w14:textFill>
            <w14:solidFill>
              <w14:schemeClr w14:val="tx1"/>
            </w14:solidFill>
          </w14:textFill>
        </w:rPr>
        <w:t>黑名单</w:t>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，被国家税务总局</w:t>
      </w:r>
      <w:r>
        <w:rPr>
          <w:rFonts w:asciiTheme="majorEastAsia" w:hAnsiTheme="majorEastAsia" w:eastAsiaTheme="majorEastAsia"/>
          <w:color w:val="000000" w:themeColor="text1"/>
          <w:sz w:val="24"/>
          <w:szCs w:val="24"/>
          <w:highlight w:val="none"/>
          <w14:textFill>
            <w14:solidFill>
              <w14:schemeClr w14:val="tx1"/>
            </w14:solidFill>
          </w14:textFill>
        </w:rPr>
        <w:t>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"http://hd.chinatax.gov.cn/xxk/"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http://hd.chinatax.gov.cn/xxk</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重大税收违法案件当事人名单，被国家企业</w:t>
      </w:r>
      <w:r>
        <w:rPr>
          <w:rFonts w:asciiTheme="majorEastAsia" w:hAnsiTheme="majorEastAsia" w:eastAsiaTheme="majorEastAsia"/>
          <w:color w:val="000000" w:themeColor="text1"/>
          <w:sz w:val="24"/>
          <w:szCs w:val="24"/>
          <w:highlight w:val="none"/>
          <w14:textFill>
            <w14:solidFill>
              <w14:schemeClr w14:val="tx1"/>
            </w14:solidFill>
          </w14:textFill>
        </w:rPr>
        <w:t>信用信息公示系统（</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http://www.gsxt.gov.cn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经营异常名录、严重违法</w:t>
      </w:r>
      <w:r>
        <w:rPr>
          <w:rFonts w:asciiTheme="majorEastAsia" w:hAnsiTheme="majorEastAsia" w:eastAsiaTheme="majorEastAsia"/>
          <w:color w:val="000000" w:themeColor="text1"/>
          <w:sz w:val="24"/>
          <w:szCs w:val="24"/>
          <w:highlight w:val="none"/>
          <w14:textFill>
            <w14:solidFill>
              <w14:schemeClr w14:val="tx1"/>
            </w14:solidFill>
          </w14:textFill>
        </w:rPr>
        <w:t>失信企业名单</w:t>
      </w:r>
      <w:r>
        <w:rPr>
          <w:rFonts w:hint="eastAsia" w:asciiTheme="majorEastAsia" w:hAnsiTheme="majorEastAsia" w:eastAsiaTheme="majorEastAsia"/>
          <w:color w:val="000000" w:themeColor="text1"/>
          <w:sz w:val="24"/>
          <w:szCs w:val="24"/>
          <w:highlight w:val="none"/>
          <w14:textFill>
            <w14:solidFill>
              <w14:schemeClr w14:val="tx1"/>
            </w14:solidFill>
          </w14:textFill>
        </w:rPr>
        <w:t>，被</w:t>
      </w:r>
      <w:r>
        <w:rPr>
          <w:rFonts w:asciiTheme="majorEastAsia" w:hAnsiTheme="majorEastAsia" w:eastAsiaTheme="majorEastAsia"/>
          <w:color w:val="000000" w:themeColor="text1"/>
          <w:sz w:val="24"/>
          <w:szCs w:val="24"/>
          <w:highlight w:val="none"/>
          <w14:textFill>
            <w14:solidFill>
              <w14:schemeClr w14:val="tx1"/>
            </w14:solidFill>
          </w14:textFill>
        </w:rPr>
        <w:t>全国公共资源交易平台（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"http://www.ggzy.gov.cn"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http://www.ggzy.gov.cn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黑名单的投标人，将拒绝其参加采购活动。</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符合性检查：依据招标文件的规定，从投标文件的有效性、完整性和对招标文件的响应程度进行审查，以确定是否对招标文件的实质性要求作出响应。</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20.2在详细评标之前，评委会将首先审查每份投标文件是否实质性响应了招标文件的要求。实质性响应的投标应该是与招标文件要求的全部条款、条件和规格相符，没有重大偏离或保留的投标。</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Fonts w:hint="eastAsia" w:asciiTheme="majorEastAsia" w:hAnsiTheme="majorEastAsia" w:eastAsiaTheme="majorEastAsia"/>
          <w:bCs/>
          <w:color w:val="000000" w:themeColor="text1"/>
          <w:sz w:val="24"/>
          <w:szCs w:val="24"/>
          <w:highlight w:val="none"/>
          <w14:textFill>
            <w14:solidFill>
              <w14:schemeClr w14:val="tx1"/>
            </w14:solidFill>
          </w14:textFill>
        </w:rPr>
        <w:t>评委决定投标文件的响应性只根据投标文件本身的内容，而不寻求外部的证据。</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20.3</w:t>
      </w:r>
      <w:r>
        <w:rPr>
          <w:rFonts w:hint="eastAsia" w:asciiTheme="majorEastAsia" w:hAnsiTheme="majorEastAsia" w:eastAsiaTheme="majorEastAsia"/>
          <w:bCs/>
          <w:color w:val="000000" w:themeColor="text1"/>
          <w:sz w:val="24"/>
          <w:szCs w:val="24"/>
          <w:highlight w:val="none"/>
          <w14:textFill>
            <w14:solidFill>
              <w14:schemeClr w14:val="tx1"/>
            </w14:solidFill>
          </w14:textFill>
        </w:rPr>
        <w:t>如果投标文件实质上没有响应招标文件的要求，评委会将予以拒绝，投标人不得通过修改或撤销不合要求的偏离或保留而使其投标成为实质性响应的投标。</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20.4</w:t>
      </w:r>
      <w:r>
        <w:rPr>
          <w:rFonts w:hint="eastAsia" w:asciiTheme="majorEastAsia" w:hAnsiTheme="majorEastAsia" w:eastAsiaTheme="majorEastAsia"/>
          <w:bCs/>
          <w:color w:val="000000" w:themeColor="text1"/>
          <w:sz w:val="24"/>
          <w:szCs w:val="24"/>
          <w:highlight w:val="none"/>
          <w14:textFill>
            <w14:solidFill>
              <w14:schemeClr w14:val="tx1"/>
            </w14:solidFill>
          </w14:textFill>
        </w:rPr>
        <w:t>评委会将对确定为实质性响应的投标进行进一步审核，对投标文件中大小写金额不一致等问题的评审原则如下：</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质疑的，以中文文本为准。</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20.5</w:t>
      </w:r>
      <w:r>
        <w:rPr>
          <w:rFonts w:hint="eastAsia" w:asciiTheme="majorEastAsia" w:hAnsiTheme="majorEastAsia" w:eastAsiaTheme="majorEastAsia"/>
          <w:bCs/>
          <w:color w:val="000000" w:themeColor="text1"/>
          <w:sz w:val="24"/>
          <w:szCs w:val="24"/>
          <w:highlight w:val="none"/>
          <w14:textFill>
            <w14:solidFill>
              <w14:schemeClr w14:val="tx1"/>
            </w14:solidFill>
          </w14:textFill>
        </w:rPr>
        <w:t>评委会将按上述修正错误的方法修正投标文件中的投标报价，修正后的价格经投标人确认后具有约束力。如果投标人不确认的，则其投标将被拒绝，其投标保证金不予退还。</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20.6</w:t>
      </w: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 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127" w:name="_Toc513029234"/>
      <w:bookmarkStart w:id="128" w:name="_Toc16938550"/>
      <w:bookmarkStart w:id="129" w:name="_Toc20823306"/>
      <w:r>
        <w:rPr>
          <w:rFonts w:hint="eastAsia" w:asciiTheme="majorEastAsia" w:hAnsiTheme="majorEastAsia" w:eastAsiaTheme="majorEastAsia"/>
          <w:bCs/>
          <w:color w:val="000000" w:themeColor="text1"/>
          <w:sz w:val="24"/>
          <w:szCs w:val="24"/>
          <w:highlight w:val="none"/>
          <w14:textFill>
            <w14:solidFill>
              <w14:schemeClr w14:val="tx1"/>
            </w14:solidFill>
          </w14:textFill>
        </w:rPr>
        <w:t>21、</w:t>
      </w:r>
      <w:bookmarkEnd w:id="127"/>
      <w:bookmarkEnd w:id="128"/>
      <w:bookmarkEnd w:id="129"/>
      <w:r>
        <w:rPr>
          <w:rFonts w:hint="eastAsia" w:asciiTheme="majorEastAsia" w:hAnsiTheme="majorEastAsia" w:eastAsiaTheme="majorEastAsia"/>
          <w:bCs/>
          <w:color w:val="000000" w:themeColor="text1"/>
          <w:sz w:val="24"/>
          <w:szCs w:val="24"/>
          <w:highlight w:val="none"/>
          <w14:textFill>
            <w14:solidFill>
              <w14:schemeClr w14:val="tx1"/>
            </w14:solidFill>
          </w14:textFill>
        </w:rPr>
        <w:t>无效投标条款和废标条款</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130" w:name="_Toc20823307"/>
      <w:bookmarkStart w:id="131" w:name="_Toc513029235"/>
      <w:bookmarkStart w:id="132" w:name="_Toc16938551"/>
      <w:r>
        <w:rPr>
          <w:rFonts w:hint="eastAsia" w:asciiTheme="majorEastAsia" w:hAnsiTheme="majorEastAsia" w:eastAsiaTheme="majorEastAsia"/>
          <w:bCs/>
          <w:color w:val="000000" w:themeColor="text1"/>
          <w:sz w:val="24"/>
          <w:szCs w:val="24"/>
          <w:highlight w:val="none"/>
          <w14:textFill>
            <w14:solidFill>
              <w14:schemeClr w14:val="tx1"/>
            </w14:solidFill>
          </w14:textFill>
        </w:rPr>
        <w:t>21.1无效投标条款</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21.1.1未按照招标文件的规定提交投标保证金的；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21.1.2投标文件未按招标文件要求签署、盖章的；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21.1.3投标人在报价时采用选择性报价；</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21.1.4不具备招标文件中规定的资格要求的；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21.1.5报价超过招标文件中规定的预算金额或者最高限价的；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21.1.6投标文件含有采购人不能接受的附加条件的;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21.1.7法律、法规和招标文件规定的其他无效情形；</w:t>
      </w:r>
    </w:p>
    <w:p>
      <w:pPr>
        <w:pageBreakBefore w:val="0"/>
        <w:bidi w:val="0"/>
        <w:spacing w:line="400" w:lineRule="exact"/>
        <w:ind w:left="0" w:leftChars="0" w:right="0" w:rightChars="0" w:firstLine="480" w:firstLineChars="200"/>
        <w:rPr>
          <w:rFonts w:asciiTheme="majorEastAsia" w:hAnsiTheme="majorEastAsia" w:eastAsiaTheme="majorEastAsia"/>
          <w:bCs/>
          <w:i/>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21.1.8未通过符合性检查的；</w:t>
      </w:r>
    </w:p>
    <w:p>
      <w:pPr>
        <w:pageBreakBefore w:val="0"/>
        <w:bidi w:val="0"/>
        <w:spacing w:line="400" w:lineRule="exact"/>
        <w:ind w:left="0" w:leftChars="0" w:right="0" w:rightChars="0" w:firstLine="480" w:firstLineChars="200"/>
        <w:rPr>
          <w:rFonts w:asciiTheme="majorEastAsia" w:hAnsiTheme="majorEastAsia" w:eastAsiaTheme="majorEastAsia"/>
          <w:bCs/>
          <w:i/>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 21.1.9不符合招标文件中规定的其他实质性要求和条件的</w:t>
      </w:r>
      <w:r>
        <w:rPr>
          <w:rFonts w:hint="eastAsia" w:asciiTheme="majorEastAsia" w:hAnsiTheme="majorEastAsia" w:eastAsiaTheme="majorEastAsia"/>
          <w:bCs/>
          <w:i/>
          <w:color w:val="000000" w:themeColor="text1"/>
          <w:sz w:val="24"/>
          <w:szCs w:val="24"/>
          <w:highlight w:val="none"/>
          <w14:textFill>
            <w14:solidFill>
              <w14:schemeClr w14:val="tx1"/>
            </w14:solidFill>
          </w14:textFill>
        </w:rPr>
        <w:t>；</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21.1.10其他法律、法规及本招标文件规定的属无效投标的情形。</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21.1.11资格审查文件或商务技术标文件</w:t>
      </w:r>
      <w:r>
        <w:rPr>
          <w:rFonts w:asciiTheme="majorEastAsia" w:hAnsiTheme="majorEastAsia" w:eastAsiaTheme="majorEastAsia"/>
          <w:bCs/>
          <w:color w:val="000000" w:themeColor="text1"/>
          <w:sz w:val="24"/>
          <w:szCs w:val="24"/>
          <w:highlight w:val="none"/>
          <w14:textFill>
            <w14:solidFill>
              <w14:schemeClr w14:val="tx1"/>
            </w14:solidFill>
          </w14:textFill>
        </w:rPr>
        <w:t>出现</w:t>
      </w:r>
      <w:r>
        <w:rPr>
          <w:rFonts w:hint="eastAsia" w:asciiTheme="majorEastAsia" w:hAnsiTheme="majorEastAsia" w:eastAsiaTheme="majorEastAsia"/>
          <w:bCs/>
          <w:color w:val="000000" w:themeColor="text1"/>
          <w:sz w:val="24"/>
          <w:szCs w:val="24"/>
          <w:highlight w:val="none"/>
          <w14:textFill>
            <w14:solidFill>
              <w14:schemeClr w14:val="tx1"/>
            </w14:solidFill>
          </w14:textFill>
        </w:rPr>
        <w:t>报价</w:t>
      </w:r>
      <w:r>
        <w:rPr>
          <w:rFonts w:asciiTheme="majorEastAsia" w:hAnsiTheme="majorEastAsia" w:eastAsiaTheme="majorEastAsia"/>
          <w:bCs/>
          <w:color w:val="000000" w:themeColor="text1"/>
          <w:sz w:val="24"/>
          <w:szCs w:val="24"/>
          <w:highlight w:val="none"/>
          <w14:textFill>
            <w14:solidFill>
              <w14:schemeClr w14:val="tx1"/>
            </w14:solidFill>
          </w14:textFill>
        </w:rPr>
        <w:t>的</w:t>
      </w:r>
      <w:r>
        <w:rPr>
          <w:rFonts w:hint="eastAsia" w:asciiTheme="majorEastAsia" w:hAnsiTheme="majorEastAsia" w:eastAsiaTheme="majorEastAsia"/>
          <w:bCs/>
          <w:color w:val="000000" w:themeColor="text1"/>
          <w:sz w:val="24"/>
          <w:szCs w:val="24"/>
          <w:highlight w:val="none"/>
          <w14:textFill>
            <w14:solidFill>
              <w14:schemeClr w14:val="tx1"/>
            </w14:solidFill>
          </w14:textFill>
        </w:rPr>
        <w:t>。</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21.1.12未按招标文件要求提供投标文件；</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21.2废标条款：                                                                                                                                                                                                                                                                                                                                                                                                                                                                                                                                                                                                                                                                                                                                                                                                                                                                                                                                                                                                                                                                                                                                                                                                                                                                                                                                                                                                                                                                         </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21.2.1符合专业条件的供应商或者对招标文件作实质响应的供应商不足三家的；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21.2.2出现影响采购公正的违法、违规行为的；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21.2.3投标人的报价均超过预算，采购人不能支付的；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21.2.4因重大变故，采购任务取消的；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21.2.5评标委员会认定招标文件存在歧义、 重大缺陷导致评审工作无法进行。</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21.3 投标截止时间结束后参加投标的供应商不足三家的处理：</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21.3.1投标截止后投标人不足3家或者通过资格审查或符合性审查的投标人不足3家的，除采购任务取消情形外，按照以下方式处理：</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（一）招标文件存在不合理条款或者招标程序不符合规定的，采购人、采购代理机构改正后依法重新招标；</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（二）招标文件没有不合理条款、招标程序符合规定，需要采用其他采购方式采购的，采购人应当依法报有关部门批准。</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asciiTheme="majorEastAsia" w:hAnsiTheme="majorEastAsia" w:eastAsiaTheme="majorEastAsia"/>
          <w:color w:val="000000" w:themeColor="text1"/>
          <w:sz w:val="24"/>
          <w:szCs w:val="24"/>
          <w:highlight w:val="none"/>
          <w14:textFill>
            <w14:solidFill>
              <w14:schemeClr w14:val="tx1"/>
            </w14:solidFill>
          </w14:textFill>
        </w:rPr>
      </w:pPr>
      <w:bookmarkStart w:id="133" w:name="_Toc120614219"/>
      <w:r>
        <w:rPr>
          <w:rFonts w:hint="eastAsia" w:asciiTheme="majorEastAsia" w:hAnsiTheme="majorEastAsia" w:eastAsiaTheme="majorEastAsia"/>
          <w:color w:val="000000" w:themeColor="text1"/>
          <w:sz w:val="24"/>
          <w:szCs w:val="24"/>
          <w:highlight w:val="none"/>
          <w14:textFill>
            <w14:solidFill>
              <w14:schemeClr w14:val="tx1"/>
            </w14:solidFill>
          </w14:textFill>
        </w:rPr>
        <w:t>五、</w:t>
      </w:r>
      <w:bookmarkEnd w:id="130"/>
      <w:bookmarkEnd w:id="131"/>
      <w:bookmarkEnd w:id="132"/>
      <w:r>
        <w:rPr>
          <w:rFonts w:hint="eastAsia" w:asciiTheme="majorEastAsia" w:hAnsiTheme="majorEastAsia" w:eastAsiaTheme="majorEastAsia"/>
          <w:color w:val="000000" w:themeColor="text1"/>
          <w:sz w:val="24"/>
          <w:szCs w:val="24"/>
          <w:highlight w:val="none"/>
          <w14:textFill>
            <w14:solidFill>
              <w14:schemeClr w14:val="tx1"/>
            </w14:solidFill>
          </w14:textFill>
        </w:rPr>
        <w:t>定标</w:t>
      </w:r>
      <w:bookmarkEnd w:id="133"/>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bookmarkStart w:id="134" w:name="_Toc513029238"/>
      <w:bookmarkStart w:id="135" w:name="_Toc20823310"/>
      <w:bookmarkStart w:id="136" w:name="_Toc16938554"/>
      <w:r>
        <w:rPr>
          <w:rFonts w:hint="eastAsia" w:asciiTheme="majorEastAsia" w:hAnsiTheme="majorEastAsia" w:eastAsiaTheme="majorEastAsia"/>
          <w:color w:val="000000" w:themeColor="text1"/>
          <w:sz w:val="24"/>
          <w:szCs w:val="24"/>
          <w:highlight w:val="none"/>
          <w14:textFill>
            <w14:solidFill>
              <w14:schemeClr w14:val="tx1"/>
            </w14:solidFill>
          </w14:textFill>
        </w:rPr>
        <w:t>22、</w:t>
      </w:r>
      <w:bookmarkEnd w:id="134"/>
      <w:r>
        <w:rPr>
          <w:rFonts w:hint="eastAsia" w:asciiTheme="majorEastAsia" w:hAnsiTheme="majorEastAsia" w:eastAsiaTheme="majorEastAsia"/>
          <w:color w:val="000000" w:themeColor="text1"/>
          <w:sz w:val="24"/>
          <w:szCs w:val="24"/>
          <w:highlight w:val="none"/>
          <w14:textFill>
            <w14:solidFill>
              <w14:schemeClr w14:val="tx1"/>
            </w14:solidFill>
          </w14:textFill>
        </w:rPr>
        <w:t>确定</w:t>
      </w:r>
      <w:bookmarkEnd w:id="135"/>
      <w:bookmarkEnd w:id="136"/>
      <w:r>
        <w:rPr>
          <w:rFonts w:hint="eastAsia" w:asciiTheme="majorEastAsia" w:hAnsiTheme="majorEastAsia" w:eastAsiaTheme="majorEastAsia"/>
          <w:color w:val="000000" w:themeColor="text1"/>
          <w:sz w:val="24"/>
          <w:szCs w:val="24"/>
          <w:highlight w:val="none"/>
          <w14:textFill>
            <w14:solidFill>
              <w14:schemeClr w14:val="tx1"/>
            </w14:solidFill>
          </w14:textFill>
        </w:rPr>
        <w:t>中标单位</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22.1评委会根据本招标文件规定评分办法与评分标准评出中标人。</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22.2</w:t>
      </w:r>
      <w:r>
        <w:rPr>
          <w:rFonts w:hint="eastAsia" w:asciiTheme="majorEastAsia" w:hAnsiTheme="majorEastAsia" w:eastAsiaTheme="majorEastAsia"/>
          <w:color w:val="000000" w:themeColor="text1"/>
          <w:sz w:val="24"/>
          <w:szCs w:val="24"/>
          <w:highlight w:val="none"/>
          <w14:textFill>
            <w14:solidFill>
              <w14:schemeClr w14:val="tx1"/>
            </w14:solidFill>
          </w14:textFill>
        </w:rPr>
        <w:t>采购人将在“江苏省政府采购网”发布中标公告，公告期限为1个工作日。</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22.3若有充分证据证明，中标人出现下列情况之一的，一经查实，将被取消中标资格：</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22.3.1提供虚假材料谋取中标的；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22.3.2向采购人行贿或者提供其他不正当利益的；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22.3.3恶意竞争，投标总报价明显低于其自身合理成本且又无法提供证明的；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22.3.4属于本文件规定的无效条件，但在评标过程中又未被评委会发现的；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22.3.5与采购人或者其他供应商恶意串通的；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22.3.6采取不正当手段诋毁、排挤其他供应商的；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22.3.7不符合法律、法规的规定的。</w:t>
      </w:r>
      <w:bookmarkStart w:id="137" w:name="_Toc200451960"/>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 有下列情形之一的，视为投标人串通投标，其投标无效：</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22.4.1不同投标人的投标文件由同一单位或者个人编制；</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22.4.2不同投标人委托同一单位或者个人办理投标事宜；</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22.4.3不同投标人的投标文件载明的项目管理成员或者联系人员为同一人；</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22.4.4不同投标人的投标文件异常一致或者投标报价呈规律性差异；</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22.4.5不同投标人的投标文件相互混装；</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22.4.6不同投标人的投标保证金从同一单位或者个人的账户转出。</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23、质疑处理</w:t>
      </w:r>
      <w:bookmarkEnd w:id="137"/>
    </w:p>
    <w:p>
      <w:pPr>
        <w:pageBreakBefore w:val="0"/>
        <w:bidi w:val="0"/>
        <w:snapToGrid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23.1供应商对采购活动事项有疑问的，应当按照7.1条规定的时间前向采购人提出询问，采购人将按照7.1条规定的时间前对供应商依法提出的询问作出答复。</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23.2</w:t>
      </w:r>
      <w:r>
        <w:rPr>
          <w:rFonts w:hint="eastAsia" w:asciiTheme="majorEastAsia" w:hAnsiTheme="majorEastAsia" w:eastAsiaTheme="majorEastAsia"/>
          <w:color w:val="000000" w:themeColor="text1"/>
          <w:sz w:val="24"/>
          <w:szCs w:val="24"/>
          <w:highlight w:val="none"/>
          <w14:textFill>
            <w14:solidFill>
              <w14:schemeClr w14:val="tx1"/>
            </w14:solidFill>
          </w14:textFill>
        </w:rPr>
        <w:t>投标人认为采购文件使自己的权益受到损害的，可以</w:t>
      </w:r>
      <w:r>
        <w:rPr>
          <w:rFonts w:hint="eastAsia" w:asciiTheme="majorEastAsia" w:hAnsiTheme="majorEastAsia" w:eastAsiaTheme="majorEastAsia"/>
          <w:bCs/>
          <w:color w:val="000000" w:themeColor="text1"/>
          <w:sz w:val="24"/>
          <w:szCs w:val="24"/>
          <w:highlight w:val="none"/>
          <w14:textFill>
            <w14:solidFill>
              <w14:schemeClr w14:val="tx1"/>
            </w14:solidFill>
          </w14:textFill>
        </w:rPr>
        <w:t>按照7.2条规定的时间</w:t>
      </w:r>
      <w:r>
        <w:rPr>
          <w:rFonts w:hint="eastAsia" w:asciiTheme="majorEastAsia" w:hAnsiTheme="majorEastAsia" w:eastAsiaTheme="majorEastAsia"/>
          <w:color w:val="000000" w:themeColor="text1"/>
          <w:sz w:val="24"/>
          <w:szCs w:val="24"/>
          <w:highlight w:val="none"/>
          <w14:textFill>
            <w14:solidFill>
              <w14:schemeClr w14:val="tx1"/>
            </w14:solidFill>
          </w14:textFill>
        </w:rPr>
        <w:t>前，以书面形式向采购人提出质疑。采购人将在收到投标人的书面质疑后3日内对投标人依法提出的质疑作出答复，并将通知质疑投标人和其他有关投标人，但答复内容涉及商业秘密的除外。</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23.3采购人委托招标代理机构采购的，投标人可以向招标代理机构提出质疑，招标代理机构依照《中华人民共和国政府采购法》有关规定就采购人委托授权范围内的事项作出答复。</w:t>
      </w:r>
    </w:p>
    <w:p>
      <w:pPr>
        <w:pageBreakBefore w:val="0"/>
        <w:bidi w:val="0"/>
        <w:snapToGrid w:val="0"/>
        <w:spacing w:line="400" w:lineRule="exact"/>
        <w:ind w:left="0" w:leftChars="0" w:right="0" w:rightChars="0" w:firstLine="480" w:firstLineChars="200"/>
        <w:rPr>
          <w:rFonts w:cs="宋体"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23.4</w:t>
      </w:r>
      <w:r>
        <w:rPr>
          <w:rFonts w:cs="宋体" w:asciiTheme="majorEastAsia" w:hAnsiTheme="majorEastAsia" w:eastAsiaTheme="majorEastAsia"/>
          <w:color w:val="000000" w:themeColor="text1"/>
          <w:kern w:val="0"/>
          <w:sz w:val="24"/>
          <w:szCs w:val="24"/>
          <w:highlight w:val="none"/>
          <w14:textFill>
            <w14:solidFill>
              <w14:schemeClr w14:val="tx1"/>
            </w14:solidFill>
          </w14:textFill>
        </w:rPr>
        <w:t>对采购过程提出质疑的，为各采购程序环节结束之日；</w:t>
      </w:r>
      <w:r>
        <w:rPr>
          <w:rFonts w:cs="宋体" w:asciiTheme="majorEastAsia" w:hAnsiTheme="majorEastAsia" w:eastAsiaTheme="majorEastAsia"/>
          <w:color w:val="000000" w:themeColor="text1"/>
          <w:kern w:val="0"/>
          <w:sz w:val="24"/>
          <w:szCs w:val="24"/>
          <w:highlight w:val="none"/>
          <w14:textFill>
            <w14:solidFill>
              <w14:schemeClr w14:val="tx1"/>
            </w14:solidFill>
          </w14:textFill>
        </w:rPr>
        <w:br w:type="textWrapping"/>
      </w:r>
      <w:r>
        <w:rPr>
          <w:rFonts w:cs="宋体" w:asciiTheme="majorEastAsia" w:hAnsiTheme="majorEastAsia" w:eastAsiaTheme="majorEastAsia"/>
          <w:color w:val="000000" w:themeColor="text1"/>
          <w:kern w:val="0"/>
          <w:sz w:val="24"/>
          <w:szCs w:val="24"/>
          <w:highlight w:val="none"/>
          <w14:textFill>
            <w14:solidFill>
              <w14:schemeClr w14:val="tx1"/>
            </w14:solidFill>
          </w14:textFill>
        </w:rPr>
        <w:t>　　</w:t>
      </w:r>
      <w:r>
        <w:rPr>
          <w:rFonts w:hint="eastAsia" w:asciiTheme="majorEastAsia" w:hAnsiTheme="majorEastAsia" w:eastAsiaTheme="majorEastAsia"/>
          <w:color w:val="000000" w:themeColor="text1"/>
          <w:sz w:val="24"/>
          <w:szCs w:val="24"/>
          <w:highlight w:val="none"/>
          <w14:textFill>
            <w14:solidFill>
              <w14:schemeClr w14:val="tx1"/>
            </w14:solidFill>
          </w14:textFill>
        </w:rPr>
        <w:t>23.5</w:t>
      </w:r>
      <w:r>
        <w:rPr>
          <w:rFonts w:cs="宋体" w:asciiTheme="majorEastAsia" w:hAnsiTheme="majorEastAsia" w:eastAsiaTheme="majorEastAsia"/>
          <w:color w:val="000000" w:themeColor="text1"/>
          <w:kern w:val="0"/>
          <w:sz w:val="24"/>
          <w:szCs w:val="24"/>
          <w:highlight w:val="none"/>
          <w14:textFill>
            <w14:solidFill>
              <w14:schemeClr w14:val="tx1"/>
            </w14:solidFill>
          </w14:textFill>
        </w:rPr>
        <w:t>对中标或者成交结果提出质疑的，为中标或者成交结果公告期限届满之日。</w:t>
      </w:r>
    </w:p>
    <w:p>
      <w:pPr>
        <w:pageBreakBefore w:val="0"/>
        <w:bidi w:val="0"/>
        <w:snapToGrid w:val="0"/>
        <w:spacing w:line="400" w:lineRule="exact"/>
        <w:ind w:left="0" w:leftChars="0" w:right="0" w:rightChars="0" w:firstLine="480" w:firstLineChars="200"/>
        <w:rPr>
          <w:rFonts w:cs="宋体"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23.6质疑必须以参加投标供应商法定代表人或授权代表（投标文件中所确定的）原件送达的方式提交，未按上述要求提交的质疑函（含传真、电子邮件等）采购人有权不予受理。</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23.7未参加投标活动的供应商或在投标活动中自身权益未受到损害的供应商所提出的质疑不予受理。</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23.8质疑函应当包括下列内容：</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.1质疑投标人的名称、地址、邮编、联系人、联系电话；</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.2具体的质疑事项及明确的请求；</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.3认为自己合法权益受到损害或可能受到损害的相关证据材料；</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.4提起质疑的日期；</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5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23.9采购人收到质疑函后，将对质疑的形式和内容进行审查，如质疑函内容、格式不符合规定，采购人将告知质疑人进行补正。</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23.10质疑人应当在法定质疑期限内进行补正并重新提交质疑函，拒不补正或者在法定期限内未重新提交质疑函的，为无效质疑，采购人有权不予受理。</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23.11对于内容、格式符合规定的质疑函，采购人应当在收到投标供应商的书面质疑后七个工作日内作出答复，并以书面形式通知质疑供应商和其他有关供应商，但答复的内容不得涉及商业秘密。</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23.12投标人提出书面质疑必须有理、有据，不得恶意质疑或提交虚假质疑。否则，一经查实，采购人有权依据《江苏省政府采购供应商监督管理暂行办法》的规定，扣减其诚信记录分，并报请政府采购监管部门对该投标人进行相应的行政处罚。</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24、中标通知书</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24.l中标结果确定后，采购人将向中标供应商发出中标通知书。</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24.2 中标供应商法定代表人或授权代表（投标文件中所确定的）须到南通市通州区公共资源交易中心采购科现场签收中标通知书。</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24.3中标通知书将是合同的一个组成部分。对采购人和中标供应商均具有法律效力。中标通知书发出后，采购人改变中标结果的，或者中标供应商放弃中标项目的，应当依法承担法律责任。</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bookmarkStart w:id="138" w:name="_Toc120614220"/>
      <w:bookmarkStart w:id="139" w:name="_Toc513029236"/>
      <w:bookmarkStart w:id="140" w:name="_Toc16938552"/>
      <w:bookmarkStart w:id="141" w:name="_Toc20823308"/>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六、合同</w:t>
      </w:r>
      <w:bookmarkEnd w:id="138"/>
      <w:r>
        <w:rPr>
          <w:rFonts w:hint="eastAsia" w:asciiTheme="majorEastAsia" w:hAnsiTheme="majorEastAsia" w:eastAsiaTheme="majorEastAsia"/>
          <w:color w:val="000000" w:themeColor="text1"/>
          <w:sz w:val="24"/>
          <w:szCs w:val="24"/>
          <w:highlight w:val="none"/>
          <w14:textFill>
            <w14:solidFill>
              <w14:schemeClr w14:val="tx1"/>
            </w14:solidFill>
          </w14:textFill>
        </w:rPr>
        <w:t>签订相关事项</w:t>
      </w:r>
    </w:p>
    <w:bookmarkEnd w:id="139"/>
    <w:bookmarkEnd w:id="140"/>
    <w:bookmarkEnd w:id="141"/>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bookmarkStart w:id="142" w:name="_Toc513029237"/>
      <w:bookmarkStart w:id="143" w:name="_Toc20823309"/>
      <w:bookmarkStart w:id="144" w:name="_Toc16938553"/>
      <w:r>
        <w:rPr>
          <w:rFonts w:hint="eastAsia" w:asciiTheme="majorEastAsia" w:hAnsiTheme="majorEastAsia" w:eastAsiaTheme="majorEastAsia"/>
          <w:color w:val="000000" w:themeColor="text1"/>
          <w:sz w:val="24"/>
          <w:szCs w:val="24"/>
          <w:highlight w:val="none"/>
          <w14:textFill>
            <w14:solidFill>
              <w14:schemeClr w14:val="tx1"/>
            </w14:solidFill>
          </w14:textFill>
        </w:rPr>
        <w:t>25、 签订合同</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25.l中标人应按中标通知书规定的时间、地点,按照招标文件确定的事项与采购人签订政府采购合同，且不得迟于中标通知书发出之日起三十日内，否则投标保证金将不予退还，由此给采购人造成损失的，中标人还应承担赔偿责任。</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25.2招标文件、中标人的投标文件及招标过程中有关澄清、承诺文件均应作为合同附件。</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25.3 签订合同后，中标人不得将货物、服务及其他相关服务进行转包。未经采购人同意，中标人也不得采用分包的形式履行合同，否则采购人有权终止合同，中标人的履约保证金将不予退还。转包或分包造成采购人损失的，中标人应承担相应赔偿责任。</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26、履约保证金</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26.1中标人在收到中标通知书后，中标人应在签订合同前向采购人缴纳中标价的10%的履约保证金，履约保证金用以约束供应商在合同履行中的行为，弥补合同执行中由于自身行为可能给采购人带来的各种损失。如果中标人不同意按照规定去做，采购人有权取消本次采购中标决定，其投标保证金不予退还。</w:t>
      </w:r>
      <w:bookmarkStart w:id="145" w:name="_Toc200451963"/>
    </w:p>
    <w:p>
      <w:pPr>
        <w:pageBreakBefore w:val="0"/>
        <w:bidi w:val="0"/>
        <w:snapToGrid w:val="0"/>
        <w:spacing w:line="400" w:lineRule="exact"/>
        <w:ind w:left="0" w:leftChars="0" w:right="0" w:rightChars="0" w:firstLine="480" w:firstLineChars="200"/>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26.</w:t>
      </w:r>
      <w:bookmarkEnd w:id="145"/>
      <w:r>
        <w:rPr>
          <w:rFonts w:hint="eastAsia" w:asciiTheme="majorEastAsia" w:hAnsiTheme="majorEastAsia" w:eastAsiaTheme="majorEastAsia"/>
          <w:color w:val="000000" w:themeColor="text1"/>
          <w:sz w:val="24"/>
          <w:szCs w:val="24"/>
          <w:highlight w:val="none"/>
          <w14:textFill>
            <w14:solidFill>
              <w14:schemeClr w14:val="tx1"/>
            </w14:solidFill>
          </w14:textFill>
        </w:rPr>
        <w:t>2履约保证金的退还：合同履行结束后，中标人凭采购人签署的同意退还履约保证金的证明（证明格式自定,加盖采购单位公章）、履约保证金收条原件、保证金退款单（加盖中标人公章），前往采购人办理保证金退还手续。</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p>
    <w:bookmarkEnd w:id="142"/>
    <w:bookmarkEnd w:id="143"/>
    <w:bookmarkEnd w:id="144"/>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bookmarkStart w:id="146" w:name="_Toc120614221"/>
      <w:bookmarkStart w:id="147" w:name="_Toc16938558"/>
      <w:bookmarkStart w:id="148" w:name="_Toc20823314"/>
      <w:bookmarkStart w:id="149" w:name="_Toc479757207"/>
      <w:bookmarkStart w:id="150" w:name="_Toc513029242"/>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right="0" w:rightChars="0"/>
        <w:jc w:val="both"/>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asciiTheme="majorEastAsia" w:hAnsiTheme="majorEastAsia" w:eastAsia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b/>
          <w:color w:val="000000" w:themeColor="text1"/>
          <w:sz w:val="32"/>
          <w:szCs w:val="32"/>
          <w:highlight w:val="none"/>
          <w14:textFill>
            <w14:solidFill>
              <w14:schemeClr w14:val="tx1"/>
            </w14:solidFill>
          </w14:textFill>
        </w:rPr>
        <w:t>第三章  合同条款及格式</w:t>
      </w:r>
    </w:p>
    <w:p>
      <w:pPr>
        <w:pageBreakBefore w:val="0"/>
        <w:bidi w:val="0"/>
        <w:spacing w:line="400" w:lineRule="exact"/>
        <w:ind w:left="0" w:leftChars="0" w:right="0" w:rightChars="0" w:firstLine="723" w:firstLineChars="200"/>
        <w:jc w:val="center"/>
        <w:rPr>
          <w:sz w:val="36"/>
          <w:szCs w:val="36"/>
        </w:rPr>
      </w:pPr>
      <w:r>
        <w:rPr>
          <w:rFonts w:ascii="宋体" w:hAnsi="宋体" w:cs="宋体"/>
          <w:b/>
          <w:sz w:val="36"/>
          <w:szCs w:val="36"/>
        </w:rPr>
        <w:t xml:space="preserve"> </w:t>
      </w:r>
    </w:p>
    <w:p>
      <w:pPr>
        <w:jc w:val="center"/>
        <w:rPr>
          <w:rFonts w:hint="eastAsia"/>
          <w:sz w:val="30"/>
          <w:szCs w:val="30"/>
          <w:lang w:val="en-US" w:eastAsia="zh-CN"/>
        </w:rPr>
      </w:pPr>
      <w:r>
        <w:rPr>
          <w:rFonts w:hint="eastAsia"/>
          <w:b/>
          <w:bCs/>
          <w:sz w:val="30"/>
          <w:szCs w:val="30"/>
          <w:lang w:val="en-US" w:eastAsia="zh-CN"/>
        </w:rPr>
        <w:t>通州区2023年废旧地膜处理协议书</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甲方：南通市通州区供销合作总社</w:t>
      </w:r>
    </w:p>
    <w:p>
      <w:pPr>
        <w:ind w:firstLine="900" w:firstLineChars="300"/>
        <w:rPr>
          <w:rFonts w:hint="eastAsia"/>
          <w:sz w:val="30"/>
          <w:szCs w:val="30"/>
          <w:lang w:val="en-US" w:eastAsia="zh-CN"/>
        </w:rPr>
      </w:pPr>
      <w:r>
        <w:rPr>
          <w:rFonts w:hint="eastAsia"/>
          <w:sz w:val="30"/>
          <w:szCs w:val="30"/>
          <w:lang w:val="en-US" w:eastAsia="zh-CN"/>
        </w:rPr>
        <w:t>江苏通联现代农业发展有限公司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lang w:val="en-US" w:eastAsia="zh-CN"/>
        </w:rPr>
      </w:pPr>
      <w:r>
        <w:rPr>
          <w:rFonts w:hint="eastAsia"/>
          <w:sz w:val="30"/>
          <w:szCs w:val="30"/>
          <w:lang w:val="en-US" w:eastAsia="zh-CN"/>
        </w:rPr>
        <w:t>乙方：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lang w:val="en-US" w:eastAsia="zh-CN"/>
        </w:rPr>
      </w:pPr>
      <w:r>
        <w:rPr>
          <w:rFonts w:hint="eastAsia"/>
          <w:sz w:val="30"/>
          <w:szCs w:val="30"/>
          <w:lang w:val="en-US" w:eastAsia="zh-CN"/>
        </w:rPr>
        <w:t xml:space="preserve">    为进一步做好我区废旧地膜的回收处置工作，提高地膜的回收利用率，甲方经询价招标方式确定委托乙方对我区废旧地膜进行回收处置。为进一步明确职责，双方遵循平等、自愿、公平和诚实信用的原则，就我区废旧地膜回收处置事项订立本协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1、甲方将当地所属片区农膜统一收集归类，设置临时堆放场所，</w:t>
      </w:r>
      <w:r>
        <w:rPr>
          <w:rFonts w:hint="eastAsia"/>
          <w:sz w:val="28"/>
          <w:szCs w:val="28"/>
          <w:lang w:eastAsia="zh-CN"/>
        </w:rPr>
        <w:t>尽可能回收较</w:t>
      </w:r>
      <w:r>
        <w:rPr>
          <w:rFonts w:hint="eastAsia"/>
          <w:sz w:val="28"/>
          <w:szCs w:val="28"/>
        </w:rPr>
        <w:t>干净</w:t>
      </w:r>
      <w:r>
        <w:rPr>
          <w:rFonts w:hint="eastAsia"/>
          <w:sz w:val="28"/>
          <w:szCs w:val="28"/>
          <w:lang w:eastAsia="zh-CN"/>
        </w:rPr>
        <w:t>地膜</w:t>
      </w:r>
      <w:r>
        <w:rPr>
          <w:rFonts w:hint="eastAsia"/>
          <w:sz w:val="28"/>
          <w:szCs w:val="28"/>
        </w:rPr>
        <w:t>，甲方负责配合装车，费用由</w:t>
      </w:r>
      <w:r>
        <w:rPr>
          <w:rFonts w:hint="eastAsia"/>
          <w:sz w:val="28"/>
          <w:szCs w:val="28"/>
          <w:lang w:eastAsia="zh-CN"/>
        </w:rPr>
        <w:t>乙</w:t>
      </w:r>
      <w:r>
        <w:rPr>
          <w:rFonts w:hint="eastAsia"/>
          <w:sz w:val="28"/>
          <w:szCs w:val="28"/>
        </w:rPr>
        <w:t>方结算。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2、乙方按照甲方要求，将收集归类的农膜，调派抓车及货车统一装车运回</w:t>
      </w:r>
      <w:r>
        <w:rPr>
          <w:rFonts w:hint="eastAsia"/>
          <w:sz w:val="28"/>
          <w:szCs w:val="28"/>
          <w:lang w:eastAsia="zh-CN"/>
        </w:rPr>
        <w:t>乙方</w:t>
      </w:r>
      <w:r>
        <w:rPr>
          <w:rFonts w:hint="eastAsia"/>
          <w:sz w:val="28"/>
          <w:szCs w:val="28"/>
        </w:rPr>
        <w:t>处置场所，中途不得倾倒</w:t>
      </w:r>
      <w:r>
        <w:rPr>
          <w:rFonts w:hint="eastAsia"/>
          <w:sz w:val="28"/>
          <w:szCs w:val="28"/>
          <w:lang w:eastAsia="zh-CN"/>
        </w:rPr>
        <w:t>至其他地方</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w:t>
      </w:r>
      <w:r>
        <w:rPr>
          <w:rFonts w:hint="eastAsia"/>
          <w:sz w:val="28"/>
          <w:szCs w:val="28"/>
          <w:lang w:eastAsia="zh-CN"/>
        </w:rPr>
        <w:t>双方</w:t>
      </w:r>
      <w:r>
        <w:rPr>
          <w:rFonts w:hint="eastAsia"/>
          <w:sz w:val="28"/>
          <w:szCs w:val="28"/>
        </w:rPr>
        <w:t>经沟通协商</w:t>
      </w:r>
      <w:r>
        <w:rPr>
          <w:rFonts w:hint="eastAsia"/>
          <w:sz w:val="28"/>
          <w:szCs w:val="28"/>
          <w:lang w:eastAsia="zh-CN"/>
        </w:rPr>
        <w:t>确定</w:t>
      </w:r>
      <w:r>
        <w:rPr>
          <w:rFonts w:hint="eastAsia"/>
          <w:sz w:val="28"/>
          <w:szCs w:val="28"/>
        </w:rPr>
        <w:t>，乙方统一调运及处置废旧农膜的费用按</w:t>
      </w:r>
      <w:r>
        <w:rPr>
          <w:rFonts w:hint="eastAsia"/>
          <w:sz w:val="28"/>
          <w:szCs w:val="28"/>
          <w:lang w:val="en-US" w:eastAsia="zh-CN"/>
        </w:rPr>
        <w:t xml:space="preserve">       </w:t>
      </w:r>
      <w:r>
        <w:rPr>
          <w:rFonts w:hint="eastAsia"/>
          <w:sz w:val="28"/>
          <w:szCs w:val="28"/>
          <w:u w:val="single"/>
        </w:rPr>
        <w:t>元</w:t>
      </w:r>
      <w:r>
        <w:rPr>
          <w:sz w:val="28"/>
          <w:szCs w:val="28"/>
          <w:u w:val="single"/>
        </w:rPr>
        <w:t>/</w:t>
      </w:r>
      <w:r>
        <w:rPr>
          <w:rFonts w:hint="eastAsia"/>
          <w:sz w:val="28"/>
          <w:szCs w:val="28"/>
          <w:u w:val="single"/>
        </w:rPr>
        <w:t>吨</w:t>
      </w:r>
      <w:r>
        <w:rPr>
          <w:rFonts w:hint="eastAsia"/>
          <w:sz w:val="28"/>
          <w:szCs w:val="28"/>
        </w:rPr>
        <w:t>计算</w:t>
      </w:r>
      <w:r>
        <w:rPr>
          <w:rFonts w:hint="eastAsia"/>
          <w:sz w:val="28"/>
          <w:szCs w:val="28"/>
          <w:lang w:eastAsia="zh-CN"/>
        </w:rPr>
        <w:t>。</w:t>
      </w:r>
      <w:r>
        <w:rPr>
          <w:rFonts w:hint="eastAsia"/>
          <w:sz w:val="28"/>
          <w:szCs w:val="28"/>
        </w:rPr>
        <w:t>由甲方负责过磅，</w:t>
      </w:r>
      <w:r>
        <w:rPr>
          <w:rFonts w:hint="eastAsia"/>
          <w:sz w:val="28"/>
          <w:szCs w:val="28"/>
          <w:lang w:eastAsia="zh-CN"/>
        </w:rPr>
        <w:t>过磅时必须由区供销总社、第三方审计单位、相关镇农办负责人到场鉴证。</w:t>
      </w:r>
      <w:r>
        <w:rPr>
          <w:rFonts w:hint="eastAsia"/>
          <w:sz w:val="28"/>
          <w:szCs w:val="28"/>
        </w:rPr>
        <w:t>乙方调派车辆装车完毕后，乙方拉回</w:t>
      </w:r>
      <w:r>
        <w:rPr>
          <w:rFonts w:hint="eastAsia"/>
          <w:sz w:val="28"/>
          <w:szCs w:val="28"/>
          <w:lang w:eastAsia="zh-CN"/>
        </w:rPr>
        <w:t>乙方公司</w:t>
      </w:r>
      <w:r>
        <w:rPr>
          <w:rFonts w:hint="eastAsia"/>
          <w:sz w:val="28"/>
          <w:szCs w:val="28"/>
        </w:rPr>
        <w:t>处置</w:t>
      </w:r>
      <w:r>
        <w:rPr>
          <w:rFonts w:hint="eastAsia"/>
          <w:sz w:val="28"/>
          <w:szCs w:val="28"/>
          <w:lang w:eastAsia="zh-CN"/>
        </w:rPr>
        <w:t>。</w:t>
      </w:r>
      <w:r>
        <w:rPr>
          <w:rFonts w:hint="eastAsia"/>
          <w:sz w:val="28"/>
          <w:szCs w:val="28"/>
        </w:rPr>
        <w:t>甲方打款至乙方账户</w:t>
      </w:r>
      <w:r>
        <w:rPr>
          <w:rFonts w:hint="eastAsia"/>
          <w:sz w:val="28"/>
          <w:szCs w:val="28"/>
          <w:lang w:eastAsia="zh-CN"/>
        </w:rPr>
        <w:t>，</w:t>
      </w:r>
      <w:r>
        <w:rPr>
          <w:rFonts w:hint="eastAsia"/>
          <w:sz w:val="28"/>
          <w:szCs w:val="28"/>
        </w:rPr>
        <w:t>每</w:t>
      </w:r>
      <w:r>
        <w:rPr>
          <w:rFonts w:hint="eastAsia"/>
          <w:sz w:val="28"/>
          <w:szCs w:val="28"/>
          <w:lang w:eastAsia="zh-CN"/>
        </w:rPr>
        <w:t>半年</w:t>
      </w:r>
      <w:r>
        <w:rPr>
          <w:rFonts w:hint="eastAsia"/>
          <w:sz w:val="28"/>
          <w:szCs w:val="28"/>
        </w:rPr>
        <w:t>结算一次。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4、农膜运抵乙方处置场地后，拍照回传给甲方，以备甲方存档备案使用。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5、甲方如果收集存放达到一定数量后，需提前三天通知乙方，乙方同时提前腾空场地，以便堆放。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6、此协议一式</w:t>
      </w:r>
      <w:r>
        <w:rPr>
          <w:rFonts w:hint="eastAsia"/>
          <w:sz w:val="28"/>
          <w:szCs w:val="28"/>
          <w:lang w:eastAsia="zh-CN"/>
        </w:rPr>
        <w:t>三</w:t>
      </w:r>
      <w:r>
        <w:rPr>
          <w:rFonts w:hint="eastAsia"/>
          <w:sz w:val="28"/>
          <w:szCs w:val="28"/>
        </w:rPr>
        <w:t>份，</w:t>
      </w:r>
      <w:r>
        <w:rPr>
          <w:rFonts w:hint="eastAsia"/>
          <w:sz w:val="28"/>
          <w:szCs w:val="28"/>
          <w:lang w:eastAsia="zh-CN"/>
        </w:rPr>
        <w:t>三</w:t>
      </w:r>
      <w:r>
        <w:rPr>
          <w:rFonts w:hint="eastAsia"/>
          <w:sz w:val="28"/>
          <w:szCs w:val="28"/>
        </w:rPr>
        <w:t>方各存</w:t>
      </w:r>
      <w:r>
        <w:rPr>
          <w:rFonts w:hint="eastAsia"/>
          <w:sz w:val="28"/>
          <w:szCs w:val="28"/>
          <w:lang w:eastAsia="zh-CN"/>
        </w:rPr>
        <w:t>一</w:t>
      </w:r>
      <w:r>
        <w:rPr>
          <w:rFonts w:hint="eastAsia"/>
          <w:sz w:val="28"/>
          <w:szCs w:val="28"/>
        </w:rPr>
        <w:t>份，未尽事宜协商解决。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甲方：                             乙方：</w:t>
      </w:r>
    </w:p>
    <w:p>
      <w:pPr>
        <w:pStyle w:val="2"/>
        <w:rPr>
          <w:rFonts w:hint="eastAsia"/>
          <w:sz w:val="28"/>
          <w:szCs w:val="28"/>
        </w:rPr>
      </w:pPr>
    </w:p>
    <w:p>
      <w:pPr>
        <w:pStyle w:val="2"/>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xml:space="preserve">                                    年      月     日</w:t>
      </w: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sz w:val="24"/>
        </w:rPr>
      </w:pPr>
      <w:r>
        <w:rPr>
          <w:rFonts w:hint="eastAsia"/>
          <w:sz w:val="24"/>
        </w:rPr>
        <w:t>附件</w:t>
      </w:r>
      <w:r>
        <w:rPr>
          <w:sz w:val="24"/>
        </w:rPr>
        <w:t>1</w:t>
      </w:r>
      <w:r>
        <w:rPr>
          <w:rFonts w:hint="eastAsia"/>
          <w:sz w:val="24"/>
        </w:rPr>
        <w:t>：处置清单</w:t>
      </w: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723" w:firstLineChars="200"/>
        <w:jc w:val="center"/>
        <w:rPr>
          <w:b/>
          <w:sz w:val="36"/>
          <w:szCs w:val="36"/>
        </w:rPr>
      </w:pPr>
      <w:r>
        <w:rPr>
          <w:rFonts w:hint="eastAsia"/>
          <w:b/>
          <w:sz w:val="36"/>
          <w:szCs w:val="36"/>
        </w:rPr>
        <w:t>废物转运处置清单</w:t>
      </w:r>
    </w:p>
    <w:tbl>
      <w:tblPr>
        <w:tblStyle w:val="5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77"/>
        <w:gridCol w:w="1530"/>
        <w:gridCol w:w="180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 w:val="24"/>
              </w:rPr>
              <w:t>序号</w:t>
            </w:r>
          </w:p>
        </w:tc>
        <w:tc>
          <w:tcPr>
            <w:tcW w:w="237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 w:val="24"/>
              </w:rPr>
              <w:t>废物名称</w:t>
            </w:r>
          </w:p>
        </w:tc>
        <w:tc>
          <w:tcPr>
            <w:tcW w:w="153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Cs w:val="21"/>
              </w:rPr>
              <w:t>废物类别</w:t>
            </w: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 w:val="24"/>
              </w:rPr>
              <w:t>数量（吨）</w:t>
            </w:r>
          </w:p>
        </w:tc>
        <w:tc>
          <w:tcPr>
            <w:tcW w:w="1903"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 w:val="24"/>
              </w:rPr>
              <w:t>包装形式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r>
              <w:rPr>
                <w:sz w:val="24"/>
              </w:rPr>
              <w:t>1</w:t>
            </w:r>
          </w:p>
        </w:tc>
        <w:tc>
          <w:tcPr>
            <w:tcW w:w="237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both"/>
              <w:rPr>
                <w:sz w:val="24"/>
              </w:rPr>
            </w:pPr>
            <w:r>
              <w:rPr>
                <w:rFonts w:hint="eastAsia"/>
                <w:sz w:val="24"/>
                <w:lang w:eastAsia="zh-CN"/>
              </w:rPr>
              <w:t>废旧地膜</w:t>
            </w:r>
          </w:p>
        </w:tc>
        <w:tc>
          <w:tcPr>
            <w:tcW w:w="153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rFonts w:hint="eastAsia" w:eastAsia="宋体"/>
                <w:sz w:val="24"/>
                <w:lang w:eastAsia="zh-CN"/>
              </w:rPr>
            </w:pPr>
            <w:r>
              <w:rPr>
                <w:rFonts w:hint="eastAsia"/>
                <w:sz w:val="24"/>
                <w:szCs w:val="24"/>
                <w:lang w:val="en-US" w:eastAsia="zh-CN"/>
              </w:rPr>
              <w:t xml:space="preserve"> </w:t>
            </w: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tabs>
                <w:tab w:val="left" w:pos="203"/>
              </w:tabs>
              <w:bidi w:val="0"/>
              <w:spacing w:line="400" w:lineRule="exact"/>
              <w:ind w:left="0" w:leftChars="0" w:right="0" w:rightChars="0" w:firstLine="480" w:firstLineChars="200"/>
              <w:jc w:val="center"/>
              <w:rPr>
                <w:sz w:val="24"/>
                <w:szCs w:val="24"/>
              </w:rPr>
            </w:pPr>
          </w:p>
        </w:tc>
        <w:tc>
          <w:tcPr>
            <w:tcW w:w="1903"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rFonts w:hint="eastAsia" w:eastAsia="宋体"/>
                <w:sz w:val="24"/>
                <w:lang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37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20" w:firstLineChars="20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szCs w:val="24"/>
              </w:rPr>
            </w:pPr>
          </w:p>
        </w:tc>
        <w:tc>
          <w:tcPr>
            <w:tcW w:w="1903"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37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20" w:firstLineChars="20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tabs>
                <w:tab w:val="center" w:pos="531"/>
              </w:tabs>
              <w:bidi w:val="0"/>
              <w:spacing w:line="400" w:lineRule="exact"/>
              <w:ind w:left="0" w:leftChars="0" w:right="0" w:rightChars="0" w:firstLine="480" w:firstLineChars="200"/>
              <w:jc w:val="center"/>
              <w:rPr>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bl>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Style w:val="23"/>
        <w:rPr>
          <w:sz w:val="24"/>
        </w:rPr>
      </w:pPr>
    </w:p>
    <w:p>
      <w:pPr>
        <w:pageBreakBefore w:val="0"/>
        <w:tabs>
          <w:tab w:val="center" w:pos="4252"/>
          <w:tab w:val="left" w:pos="4990"/>
        </w:tabs>
        <w:bidi w:val="0"/>
        <w:spacing w:line="400" w:lineRule="exact"/>
        <w:ind w:left="0" w:leftChars="0" w:right="0" w:rightChars="0" w:firstLine="5440" w:firstLineChars="1700"/>
        <w:rPr>
          <w:b/>
          <w:sz w:val="28"/>
          <w:szCs w:val="28"/>
        </w:rPr>
      </w:pP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南通市通州区供销合作总社</w:t>
      </w:r>
    </w:p>
    <w:p>
      <w:pPr>
        <w:pageBreakBefore w:val="0"/>
        <w:pBdr>
          <w:bottom w:val="dotted" w:color="auto" w:sz="24" w:space="1"/>
        </w:pBdr>
        <w:tabs>
          <w:tab w:val="left" w:pos="4966"/>
        </w:tabs>
        <w:bidi w:val="0"/>
        <w:spacing w:line="400" w:lineRule="exact"/>
        <w:ind w:left="0" w:leftChars="0" w:right="0" w:rightChars="0" w:firstLine="562" w:firstLineChars="200"/>
        <w:rPr>
          <w:sz w:val="24"/>
        </w:rPr>
      </w:pPr>
      <w:r>
        <w:rPr>
          <w:rFonts w:hint="eastAsia"/>
          <w:b/>
          <w:sz w:val="28"/>
          <w:szCs w:val="28"/>
        </w:rPr>
        <w:t xml:space="preserve">                                          </w:t>
      </w:r>
      <w:r>
        <w:rPr>
          <w:rFonts w:hint="eastAsia"/>
          <w:sz w:val="24"/>
        </w:rPr>
        <w:t>（盖章）</w:t>
      </w:r>
    </w:p>
    <w:p>
      <w:pPr>
        <w:pStyle w:val="23"/>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Style w:val="23"/>
        <w:pageBreakBefore w:val="0"/>
        <w:bidi w:val="0"/>
        <w:spacing w:line="400" w:lineRule="exact"/>
        <w:ind w:left="0" w:leftChars="0" w:right="0" w:rightChars="0" w:firstLine="480" w:firstLineChars="200"/>
        <w:rPr>
          <w:sz w:val="24"/>
        </w:rPr>
      </w:pPr>
    </w:p>
    <w:p>
      <w:pPr>
        <w:pStyle w:val="23"/>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Style w:val="23"/>
      </w:pPr>
    </w:p>
    <w:p>
      <w:pPr>
        <w:pStyle w:val="23"/>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r>
        <w:rPr>
          <w:rFonts w:hint="eastAsia"/>
          <w:sz w:val="24"/>
        </w:rPr>
        <w:t>附件</w:t>
      </w:r>
      <w:r>
        <w:rPr>
          <w:sz w:val="24"/>
        </w:rPr>
        <w:t>2</w:t>
      </w:r>
    </w:p>
    <w:p>
      <w:pPr>
        <w:pageBreakBefore w:val="0"/>
        <w:bidi w:val="0"/>
        <w:spacing w:line="400" w:lineRule="exact"/>
        <w:ind w:left="0" w:leftChars="0" w:right="0" w:rightChars="0" w:firstLine="723" w:firstLineChars="200"/>
        <w:jc w:val="center"/>
        <w:rPr>
          <w:b/>
          <w:sz w:val="36"/>
          <w:szCs w:val="36"/>
        </w:rPr>
      </w:pPr>
      <w:r>
        <w:rPr>
          <w:rFonts w:hint="eastAsia"/>
          <w:b/>
          <w:sz w:val="36"/>
          <w:szCs w:val="36"/>
        </w:rPr>
        <w:t>废物转运处置价格及支付</w:t>
      </w:r>
    </w:p>
    <w:p>
      <w:pPr>
        <w:pageBreakBefore w:val="0"/>
        <w:bidi w:val="0"/>
        <w:spacing w:line="400" w:lineRule="exact"/>
        <w:ind w:left="0" w:leftChars="0" w:right="0" w:rightChars="0" w:firstLine="480" w:firstLineChars="200"/>
        <w:jc w:val="left"/>
        <w:rPr>
          <w:sz w:val="24"/>
        </w:rPr>
      </w:pPr>
      <w:r>
        <w:rPr>
          <w:rFonts w:hint="eastAsia"/>
          <w:color w:val="000000"/>
          <w:sz w:val="24"/>
        </w:rPr>
        <w:t>甲、乙双方根据危险废物转运处置市场及检验结果等因素协商一致确定本合同危险废物转运处置的单价：</w:t>
      </w:r>
    </w:p>
    <w:tbl>
      <w:tblPr>
        <w:tblStyle w:val="55"/>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64"/>
        <w:gridCol w:w="1470"/>
        <w:gridCol w:w="151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pPr>
              <w:pageBreakBefore w:val="0"/>
              <w:bidi w:val="0"/>
              <w:spacing w:line="400" w:lineRule="exact"/>
              <w:ind w:right="0" w:rightChars="0"/>
              <w:jc w:val="center"/>
              <w:rPr>
                <w:sz w:val="24"/>
              </w:rPr>
            </w:pPr>
            <w:r>
              <w:rPr>
                <w:rFonts w:hint="eastAsia"/>
                <w:sz w:val="24"/>
              </w:rPr>
              <w:t>序号</w:t>
            </w:r>
          </w:p>
        </w:tc>
        <w:tc>
          <w:tcPr>
            <w:tcW w:w="2064" w:type="dxa"/>
          </w:tcPr>
          <w:p>
            <w:pPr>
              <w:pageBreakBefore w:val="0"/>
              <w:bidi w:val="0"/>
              <w:spacing w:line="400" w:lineRule="exact"/>
              <w:ind w:right="0" w:rightChars="0"/>
              <w:jc w:val="center"/>
              <w:rPr>
                <w:sz w:val="24"/>
              </w:rPr>
            </w:pPr>
            <w:r>
              <w:rPr>
                <w:rFonts w:hint="eastAsia"/>
                <w:sz w:val="24"/>
              </w:rPr>
              <w:t>废物名称</w:t>
            </w:r>
          </w:p>
        </w:tc>
        <w:tc>
          <w:tcPr>
            <w:tcW w:w="1470" w:type="dxa"/>
          </w:tcPr>
          <w:p>
            <w:pPr>
              <w:pageBreakBefore w:val="0"/>
              <w:bidi w:val="0"/>
              <w:spacing w:line="400" w:lineRule="exact"/>
              <w:ind w:right="0" w:rightChars="0"/>
              <w:jc w:val="center"/>
              <w:rPr>
                <w:sz w:val="24"/>
              </w:rPr>
            </w:pPr>
            <w:r>
              <w:rPr>
                <w:rFonts w:hint="eastAsia"/>
                <w:szCs w:val="21"/>
              </w:rPr>
              <w:t>废物类别</w:t>
            </w:r>
          </w:p>
        </w:tc>
        <w:tc>
          <w:tcPr>
            <w:tcW w:w="1515" w:type="dxa"/>
          </w:tcPr>
          <w:p>
            <w:pPr>
              <w:pageBreakBefore w:val="0"/>
              <w:bidi w:val="0"/>
              <w:spacing w:line="400" w:lineRule="exact"/>
              <w:ind w:right="0" w:rightChars="0"/>
              <w:jc w:val="center"/>
              <w:rPr>
                <w:sz w:val="24"/>
              </w:rPr>
            </w:pPr>
            <w:r>
              <w:rPr>
                <w:rFonts w:hint="eastAsia"/>
                <w:sz w:val="24"/>
              </w:rPr>
              <w:t>数量（吨）</w:t>
            </w:r>
          </w:p>
        </w:tc>
        <w:tc>
          <w:tcPr>
            <w:tcW w:w="3105" w:type="dxa"/>
          </w:tcPr>
          <w:p>
            <w:pPr>
              <w:pageBreakBefore w:val="0"/>
              <w:bidi w:val="0"/>
              <w:spacing w:line="400" w:lineRule="exact"/>
              <w:ind w:right="0" w:rightChars="0"/>
              <w:jc w:val="center"/>
              <w:rPr>
                <w:sz w:val="24"/>
              </w:rPr>
            </w:pPr>
            <w:r>
              <w:rPr>
                <w:rFonts w:hint="eastAsia"/>
                <w:sz w:val="24"/>
              </w:rPr>
              <w:t>转运处置价格（含税）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7" w:type="dxa"/>
          </w:tcPr>
          <w:p>
            <w:pPr>
              <w:pageBreakBefore w:val="0"/>
              <w:bidi w:val="0"/>
              <w:spacing w:line="400" w:lineRule="exact"/>
              <w:ind w:right="0" w:rightChars="0"/>
              <w:jc w:val="center"/>
              <w:rPr>
                <w:sz w:val="24"/>
              </w:rPr>
            </w:pPr>
            <w:r>
              <w:rPr>
                <w:rFonts w:hint="eastAsia"/>
                <w:sz w:val="24"/>
              </w:rPr>
              <w:t>1</w:t>
            </w:r>
          </w:p>
        </w:tc>
        <w:tc>
          <w:tcPr>
            <w:tcW w:w="2064" w:type="dxa"/>
            <w:vAlign w:val="center"/>
          </w:tcPr>
          <w:p>
            <w:pPr>
              <w:pageBreakBefore w:val="0"/>
              <w:bidi w:val="0"/>
              <w:spacing w:line="400" w:lineRule="exact"/>
              <w:ind w:right="0" w:rightChars="0"/>
              <w:jc w:val="center"/>
              <w:rPr>
                <w:rFonts w:hint="eastAsia" w:eastAsia="宋体"/>
                <w:sz w:val="24"/>
                <w:lang w:eastAsia="zh-CN"/>
              </w:rPr>
            </w:pPr>
            <w:r>
              <w:rPr>
                <w:rFonts w:hint="eastAsia"/>
                <w:sz w:val="24"/>
                <w:lang w:eastAsia="zh-CN"/>
              </w:rPr>
              <w:t>废旧地膜</w:t>
            </w:r>
          </w:p>
        </w:tc>
        <w:tc>
          <w:tcPr>
            <w:tcW w:w="1470" w:type="dxa"/>
            <w:vAlign w:val="center"/>
          </w:tcPr>
          <w:p>
            <w:pPr>
              <w:pageBreakBefore w:val="0"/>
              <w:bidi w:val="0"/>
              <w:spacing w:line="400" w:lineRule="exact"/>
              <w:ind w:left="0" w:leftChars="0" w:right="0" w:rightChars="0" w:firstLine="482" w:firstLineChars="200"/>
              <w:jc w:val="center"/>
              <w:rPr>
                <w:rFonts w:hint="eastAsia" w:eastAsia="宋体"/>
                <w:b/>
                <w:bCs/>
                <w:sz w:val="24"/>
                <w:lang w:eastAsia="zh-CN"/>
              </w:rPr>
            </w:pPr>
          </w:p>
        </w:tc>
        <w:tc>
          <w:tcPr>
            <w:tcW w:w="1515" w:type="dxa"/>
          </w:tcPr>
          <w:p>
            <w:pPr>
              <w:pageBreakBefore w:val="0"/>
              <w:bidi w:val="0"/>
              <w:spacing w:line="400" w:lineRule="exact"/>
              <w:ind w:left="0" w:leftChars="0" w:right="0" w:rightChars="0" w:firstLine="480" w:firstLineChars="200"/>
              <w:jc w:val="center"/>
              <w:rPr>
                <w:sz w:val="24"/>
              </w:rPr>
            </w:pPr>
          </w:p>
          <w:p>
            <w:pPr>
              <w:pageBreakBefore w:val="0"/>
              <w:bidi w:val="0"/>
              <w:spacing w:line="400" w:lineRule="exact"/>
              <w:ind w:left="0" w:leftChars="0" w:right="0" w:rightChars="0" w:firstLine="480" w:firstLineChars="200"/>
              <w:jc w:val="center"/>
              <w:rPr>
                <w:rFonts w:hint="default" w:eastAsia="宋体"/>
                <w:sz w:val="24"/>
                <w:lang w:val="en-US" w:eastAsia="zh-CN"/>
              </w:rPr>
            </w:pPr>
            <w:r>
              <w:rPr>
                <w:rFonts w:hint="eastAsia"/>
                <w:sz w:val="24"/>
                <w:lang w:val="en-US" w:eastAsia="zh-CN"/>
              </w:rPr>
              <w:t>约300</w:t>
            </w:r>
          </w:p>
        </w:tc>
        <w:tc>
          <w:tcPr>
            <w:tcW w:w="3105" w:type="dxa"/>
          </w:tcPr>
          <w:p>
            <w:pPr>
              <w:pageBreakBefore w:val="0"/>
              <w:bidi w:val="0"/>
              <w:spacing w:line="400" w:lineRule="exact"/>
              <w:ind w:left="0" w:leftChars="0" w:right="0" w:rightChars="0" w:firstLine="480" w:firstLineChars="200"/>
              <w:jc w:val="center"/>
              <w:rPr>
                <w:sz w:val="24"/>
              </w:rPr>
            </w:pPr>
          </w:p>
          <w:p>
            <w:pPr>
              <w:pageBreakBefore w:val="0"/>
              <w:bidi w:val="0"/>
              <w:spacing w:line="400" w:lineRule="exact"/>
              <w:ind w:left="0" w:leftChars="0" w:right="0" w:rightChars="0" w:firstLine="480" w:firstLineChars="200"/>
              <w:jc w:val="center"/>
              <w:rPr>
                <w:sz w:val="24"/>
              </w:rPr>
            </w:pPr>
            <w:r>
              <w:rPr>
                <w:rFonts w:hint="eastAsia"/>
                <w:sz w:val="24"/>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7" w:type="dxa"/>
          </w:tcPr>
          <w:p>
            <w:pPr>
              <w:pageBreakBefore w:val="0"/>
              <w:bidi w:val="0"/>
              <w:spacing w:line="400" w:lineRule="exact"/>
              <w:ind w:right="0" w:rightChars="0"/>
              <w:jc w:val="center"/>
              <w:rPr>
                <w:sz w:val="24"/>
              </w:rPr>
            </w:pPr>
            <w:r>
              <w:rPr>
                <w:rFonts w:hint="eastAsia"/>
                <w:sz w:val="24"/>
              </w:rPr>
              <w:t>2</w:t>
            </w:r>
          </w:p>
        </w:tc>
        <w:tc>
          <w:tcPr>
            <w:tcW w:w="2064" w:type="dxa"/>
            <w:vAlign w:val="center"/>
          </w:tcPr>
          <w:p>
            <w:pPr>
              <w:pageBreakBefore w:val="0"/>
              <w:bidi w:val="0"/>
              <w:spacing w:line="400" w:lineRule="exact"/>
              <w:ind w:left="0" w:leftChars="0" w:right="0" w:rightChars="0" w:firstLine="482" w:firstLineChars="200"/>
              <w:jc w:val="center"/>
              <w:rPr>
                <w:b/>
                <w:bCs/>
                <w:sz w:val="24"/>
              </w:rPr>
            </w:pPr>
          </w:p>
        </w:tc>
        <w:tc>
          <w:tcPr>
            <w:tcW w:w="1470" w:type="dxa"/>
            <w:vAlign w:val="center"/>
          </w:tcPr>
          <w:p>
            <w:pPr>
              <w:pageBreakBefore w:val="0"/>
              <w:bidi w:val="0"/>
              <w:spacing w:line="400" w:lineRule="exact"/>
              <w:ind w:left="0" w:leftChars="0" w:right="0" w:rightChars="0" w:firstLine="482" w:firstLineChars="200"/>
              <w:jc w:val="center"/>
              <w:rPr>
                <w:b/>
                <w:bCs/>
                <w:sz w:val="24"/>
              </w:rPr>
            </w:pPr>
          </w:p>
        </w:tc>
        <w:tc>
          <w:tcPr>
            <w:tcW w:w="1515" w:type="dxa"/>
          </w:tcPr>
          <w:p>
            <w:pPr>
              <w:pageBreakBefore w:val="0"/>
              <w:bidi w:val="0"/>
              <w:spacing w:line="400" w:lineRule="exact"/>
              <w:ind w:left="0" w:leftChars="0" w:right="0" w:rightChars="0" w:firstLine="482" w:firstLineChars="200"/>
              <w:jc w:val="center"/>
              <w:rPr>
                <w:b/>
                <w:bCs/>
                <w:sz w:val="24"/>
              </w:rPr>
            </w:pPr>
          </w:p>
        </w:tc>
        <w:tc>
          <w:tcPr>
            <w:tcW w:w="3105" w:type="dxa"/>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7" w:type="dxa"/>
          </w:tcPr>
          <w:p>
            <w:pPr>
              <w:pageBreakBefore w:val="0"/>
              <w:bidi w:val="0"/>
              <w:spacing w:line="400" w:lineRule="exact"/>
              <w:ind w:right="0" w:rightChars="0"/>
              <w:jc w:val="center"/>
              <w:rPr>
                <w:sz w:val="24"/>
              </w:rPr>
            </w:pPr>
            <w:r>
              <w:rPr>
                <w:rFonts w:hint="eastAsia"/>
                <w:sz w:val="24"/>
              </w:rPr>
              <w:t>3</w:t>
            </w:r>
          </w:p>
        </w:tc>
        <w:tc>
          <w:tcPr>
            <w:tcW w:w="2064" w:type="dxa"/>
            <w:vAlign w:val="center"/>
          </w:tcPr>
          <w:p>
            <w:pPr>
              <w:pageBreakBefore w:val="0"/>
              <w:bidi w:val="0"/>
              <w:spacing w:line="400" w:lineRule="exact"/>
              <w:ind w:left="0" w:leftChars="0" w:right="0" w:rightChars="0" w:firstLine="482" w:firstLineChars="200"/>
              <w:jc w:val="center"/>
              <w:rPr>
                <w:b/>
                <w:bCs/>
                <w:sz w:val="24"/>
              </w:rPr>
            </w:pPr>
          </w:p>
        </w:tc>
        <w:tc>
          <w:tcPr>
            <w:tcW w:w="1470" w:type="dxa"/>
            <w:vAlign w:val="center"/>
          </w:tcPr>
          <w:p>
            <w:pPr>
              <w:pageBreakBefore w:val="0"/>
              <w:bidi w:val="0"/>
              <w:spacing w:line="400" w:lineRule="exact"/>
              <w:ind w:left="0" w:leftChars="0" w:right="0" w:rightChars="0" w:firstLine="482" w:firstLineChars="200"/>
              <w:jc w:val="center"/>
              <w:rPr>
                <w:b/>
                <w:bCs/>
                <w:sz w:val="24"/>
              </w:rPr>
            </w:pPr>
          </w:p>
        </w:tc>
        <w:tc>
          <w:tcPr>
            <w:tcW w:w="1515" w:type="dxa"/>
          </w:tcPr>
          <w:p>
            <w:pPr>
              <w:pageBreakBefore w:val="0"/>
              <w:tabs>
                <w:tab w:val="center" w:pos="531"/>
              </w:tabs>
              <w:bidi w:val="0"/>
              <w:spacing w:line="400" w:lineRule="exact"/>
              <w:ind w:left="0" w:leftChars="0" w:right="0" w:rightChars="0" w:firstLine="482" w:firstLineChars="200"/>
              <w:jc w:val="center"/>
              <w:rPr>
                <w:b/>
                <w:bCs/>
                <w:sz w:val="24"/>
              </w:rPr>
            </w:pPr>
          </w:p>
        </w:tc>
        <w:tc>
          <w:tcPr>
            <w:tcW w:w="3105" w:type="dxa"/>
          </w:tcPr>
          <w:p>
            <w:pPr>
              <w:pageBreakBefore w:val="0"/>
              <w:bidi w:val="0"/>
              <w:spacing w:line="400" w:lineRule="exact"/>
              <w:ind w:left="0" w:leftChars="0" w:right="0" w:rightChars="0" w:firstLine="480" w:firstLineChars="200"/>
              <w:jc w:val="center"/>
              <w:rPr>
                <w:sz w:val="24"/>
              </w:rPr>
            </w:pPr>
          </w:p>
        </w:tc>
      </w:tr>
    </w:tbl>
    <w:p>
      <w:pPr>
        <w:pageBreakBefore w:val="0"/>
        <w:bidi w:val="0"/>
        <w:spacing w:line="400" w:lineRule="exact"/>
        <w:ind w:left="0" w:leftChars="0" w:right="0" w:rightChars="0" w:firstLine="482" w:firstLineChars="200"/>
        <w:rPr>
          <w:b/>
          <w:sz w:val="24"/>
        </w:rPr>
      </w:pPr>
      <w:r>
        <w:rPr>
          <w:rFonts w:hint="eastAsia"/>
          <w:b/>
          <w:sz w:val="24"/>
        </w:rPr>
        <w:t>备注：</w:t>
      </w:r>
    </w:p>
    <w:p>
      <w:pPr>
        <w:pageBreakBefore w:val="0"/>
        <w:bidi w:val="0"/>
        <w:spacing w:line="400" w:lineRule="exact"/>
        <w:ind w:left="0" w:leftChars="0" w:right="0" w:rightChars="0" w:firstLine="480" w:firstLineChars="200"/>
        <w:rPr>
          <w:sz w:val="24"/>
        </w:rPr>
      </w:pPr>
      <w:r>
        <w:rPr>
          <w:rFonts w:hint="eastAsia"/>
          <w:sz w:val="24"/>
        </w:rPr>
        <w:t>1、本合同转运处置价格按以上价格执行，数量以实际转运处置数量为准，税率按照国家政策执行。</w:t>
      </w:r>
    </w:p>
    <w:p>
      <w:pPr>
        <w:pageBreakBefore w:val="0"/>
        <w:bidi w:val="0"/>
        <w:spacing w:line="400" w:lineRule="exact"/>
        <w:ind w:left="0" w:leftChars="0" w:right="0" w:rightChars="0" w:firstLine="480" w:firstLineChars="200"/>
        <w:rPr>
          <w:sz w:val="24"/>
          <w:highlight w:val="yellow"/>
        </w:rPr>
      </w:pPr>
      <w:r>
        <w:rPr>
          <w:rFonts w:hint="eastAsia"/>
          <w:sz w:val="24"/>
          <w:highlight w:val="yellow"/>
        </w:rPr>
        <w:t>2、</w:t>
      </w:r>
      <w:r>
        <w:rPr>
          <w:rFonts w:hint="eastAsia"/>
          <w:sz w:val="24"/>
          <w:highlight w:val="yellow"/>
          <w:lang w:val="en-US" w:eastAsia="zh-CN"/>
        </w:rPr>
        <w:t>每半年付款一次</w:t>
      </w:r>
      <w:r>
        <w:rPr>
          <w:rFonts w:hint="eastAsia"/>
          <w:sz w:val="24"/>
          <w:highlight w:val="yellow"/>
        </w:rPr>
        <w:t>。</w:t>
      </w:r>
    </w:p>
    <w:p>
      <w:pPr>
        <w:pageBreakBefore w:val="0"/>
        <w:bidi w:val="0"/>
        <w:spacing w:line="400" w:lineRule="exact"/>
        <w:ind w:left="0" w:leftChars="0" w:right="0" w:rightChars="0" w:firstLine="480" w:firstLineChars="200"/>
        <w:rPr>
          <w:sz w:val="24"/>
        </w:rPr>
      </w:pPr>
    </w:p>
    <w:p>
      <w:pPr>
        <w:pageBreakBefore w:val="0"/>
        <w:tabs>
          <w:tab w:val="left" w:pos="4750"/>
          <w:tab w:val="left" w:pos="5038"/>
        </w:tabs>
        <w:bidi w:val="0"/>
        <w:spacing w:line="400" w:lineRule="exact"/>
        <w:ind w:left="0" w:leftChars="0" w:right="0" w:rightChars="0" w:firstLine="480" w:firstLineChars="200"/>
        <w:rPr>
          <w:sz w:val="24"/>
        </w:rPr>
      </w:pPr>
      <w:r>
        <w:rPr>
          <w:rFonts w:hint="eastAsia"/>
          <w:sz w:val="24"/>
        </w:rPr>
        <w:t>甲方（章）：                               乙方（章）：</w:t>
      </w:r>
    </w:p>
    <w:p>
      <w:pPr>
        <w:pageBreakBefore w:val="0"/>
        <w:tabs>
          <w:tab w:val="left" w:pos="4750"/>
          <w:tab w:val="left" w:pos="5038"/>
        </w:tabs>
        <w:bidi w:val="0"/>
        <w:spacing w:line="400" w:lineRule="exact"/>
        <w:ind w:left="0" w:leftChars="0" w:right="0" w:rightChars="0" w:firstLine="480" w:firstLineChars="200"/>
        <w:rPr>
          <w:sz w:val="24"/>
        </w:rPr>
      </w:pPr>
    </w:p>
    <w:p>
      <w:pPr>
        <w:pageBreakBefore w:val="0"/>
        <w:tabs>
          <w:tab w:val="left" w:pos="4750"/>
          <w:tab w:val="left" w:pos="5038"/>
        </w:tabs>
        <w:bidi w:val="0"/>
        <w:spacing w:line="400" w:lineRule="exact"/>
        <w:ind w:left="0" w:leftChars="0" w:right="0" w:rightChars="0" w:firstLine="480" w:firstLineChars="200"/>
        <w:rPr>
          <w:sz w:val="24"/>
        </w:rPr>
      </w:pPr>
      <w:r>
        <w:rPr>
          <w:rFonts w:hint="eastAsia"/>
          <w:sz w:val="24"/>
        </w:rPr>
        <w:t>委托代理人：                              委托代理人：</w:t>
      </w:r>
    </w:p>
    <w:p>
      <w:pPr>
        <w:pageBreakBefore w:val="0"/>
        <w:tabs>
          <w:tab w:val="left" w:pos="4750"/>
          <w:tab w:val="left" w:pos="5038"/>
        </w:tabs>
        <w:bidi w:val="0"/>
        <w:spacing w:line="400" w:lineRule="exact"/>
        <w:ind w:left="0" w:leftChars="0" w:right="0" w:rightChars="0" w:firstLine="480" w:firstLineChars="200"/>
        <w:rPr>
          <w:sz w:val="24"/>
        </w:rPr>
      </w:pPr>
    </w:p>
    <w:p>
      <w:pPr>
        <w:pageBreakBefore w:val="0"/>
        <w:tabs>
          <w:tab w:val="left" w:pos="4750"/>
          <w:tab w:val="left" w:pos="5038"/>
        </w:tabs>
        <w:bidi w:val="0"/>
        <w:spacing w:line="400" w:lineRule="exact"/>
        <w:ind w:left="0" w:leftChars="0" w:right="0" w:rightChars="0" w:firstLine="480" w:firstLineChars="200"/>
        <w:rPr>
          <w:sz w:val="24"/>
        </w:rPr>
      </w:pPr>
      <w:r>
        <w:rPr>
          <w:rFonts w:hint="eastAsia"/>
          <w:sz w:val="24"/>
        </w:rPr>
        <w:t>日期：202</w:t>
      </w:r>
      <w:r>
        <w:rPr>
          <w:rFonts w:hint="eastAsia"/>
          <w:sz w:val="24"/>
          <w:lang w:val="en-US" w:eastAsia="zh-CN"/>
        </w:rPr>
        <w:t>3</w:t>
      </w:r>
      <w:r>
        <w:rPr>
          <w:rFonts w:hint="eastAsia"/>
          <w:sz w:val="24"/>
        </w:rPr>
        <w:t>年  月  日                     日期：202</w:t>
      </w:r>
      <w:r>
        <w:rPr>
          <w:rFonts w:hint="eastAsia"/>
          <w:sz w:val="24"/>
          <w:lang w:val="en-US" w:eastAsia="zh-CN"/>
        </w:rPr>
        <w:t>3</w:t>
      </w:r>
      <w:r>
        <w:rPr>
          <w:rFonts w:hint="eastAsia"/>
          <w:sz w:val="24"/>
        </w:rPr>
        <w:t>年  月   日</w:t>
      </w:r>
      <w:r>
        <w:rPr>
          <w:rFonts w:hint="eastAsia"/>
          <w:sz w:val="24"/>
        </w:rPr>
        <w:tab/>
      </w:r>
    </w:p>
    <w:p>
      <w:pPr>
        <w:pageBreakBefore w:val="0"/>
        <w:bidi w:val="0"/>
        <w:spacing w:line="400" w:lineRule="exact"/>
        <w:ind w:left="0" w:leftChars="0" w:right="0" w:rightChars="0" w:firstLine="480" w:firstLineChars="200"/>
        <w:rPr>
          <w:sz w:val="24"/>
        </w:rPr>
      </w:pPr>
    </w:p>
    <w:p>
      <w:pPr>
        <w:pStyle w:val="23"/>
        <w:pageBreakBefore w:val="0"/>
        <w:bidi w:val="0"/>
        <w:spacing w:line="400" w:lineRule="exact"/>
        <w:ind w:left="0" w:leftChars="0" w:right="0" w:rightChars="0" w:firstLine="560" w:firstLineChars="200"/>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Style w:val="23"/>
        <w:rPr>
          <w:rFonts w:hint="eastAsia"/>
        </w:rPr>
      </w:pPr>
    </w:p>
    <w:p>
      <w:pPr>
        <w:pStyle w:val="23"/>
        <w:rPr>
          <w:rFonts w:hint="eastAsia"/>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Style w:val="23"/>
        <w:rPr>
          <w:rFonts w:hint="eastAsia"/>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sz w:val="36"/>
          <w:szCs w:val="36"/>
        </w:rPr>
      </w:pPr>
      <w:r>
        <w:rPr>
          <w:rFonts w:hint="eastAsia"/>
          <w:sz w:val="24"/>
        </w:rPr>
        <w:t>附件3</w:t>
      </w:r>
    </w:p>
    <w:p>
      <w:pPr>
        <w:pageBreakBefore w:val="0"/>
        <w:bidi w:val="0"/>
        <w:spacing w:line="400" w:lineRule="exact"/>
        <w:ind w:left="0" w:leftChars="0" w:right="0" w:rightChars="0" w:firstLine="723" w:firstLineChars="200"/>
        <w:jc w:val="center"/>
        <w:rPr>
          <w:b/>
          <w:sz w:val="36"/>
          <w:szCs w:val="36"/>
        </w:rPr>
      </w:pPr>
      <w:r>
        <w:rPr>
          <w:rFonts w:hint="eastAsia"/>
          <w:b/>
          <w:sz w:val="36"/>
          <w:szCs w:val="36"/>
        </w:rPr>
        <w:t>双方单位联系人</w:t>
      </w: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r>
        <w:rPr>
          <w:rFonts w:hint="eastAsia"/>
          <w:sz w:val="24"/>
        </w:rPr>
        <w:t>为便于甲乙双方危险废物的转移、接收以及应急响应，确定联系人如下：</w:t>
      </w: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r>
        <w:rPr>
          <w:rFonts w:hint="eastAsia"/>
          <w:sz w:val="24"/>
        </w:rPr>
        <w:t>转运处置单位联系人：</w:t>
      </w:r>
    </w:p>
    <w:tbl>
      <w:tblPr>
        <w:tblStyle w:val="5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50"/>
        <w:gridCol w:w="2101"/>
        <w:gridCol w:w="1843"/>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序号</w:t>
            </w:r>
          </w:p>
        </w:tc>
        <w:tc>
          <w:tcPr>
            <w:tcW w:w="145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姓名</w:t>
            </w: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联系方式</w:t>
            </w: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部门</w:t>
            </w:r>
          </w:p>
        </w:tc>
        <w:tc>
          <w:tcPr>
            <w:tcW w:w="3114"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1</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14"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14"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14"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14"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bl>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r>
        <w:rPr>
          <w:rFonts w:hint="eastAsia"/>
          <w:sz w:val="24"/>
        </w:rPr>
        <w:t>产废单位联系人：</w:t>
      </w:r>
    </w:p>
    <w:tbl>
      <w:tblPr>
        <w:tblStyle w:val="5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50"/>
        <w:gridCol w:w="1963"/>
        <w:gridCol w:w="1981"/>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序号</w:t>
            </w:r>
          </w:p>
        </w:tc>
        <w:tc>
          <w:tcPr>
            <w:tcW w:w="145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姓名</w:t>
            </w:r>
          </w:p>
        </w:tc>
        <w:tc>
          <w:tcPr>
            <w:tcW w:w="196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联系方式</w:t>
            </w: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部门</w:t>
            </w:r>
          </w:p>
        </w:tc>
        <w:tc>
          <w:tcPr>
            <w:tcW w:w="3135"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1</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96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35" w:type="dxa"/>
            <w:tcBorders>
              <w:top w:val="single" w:color="auto" w:sz="4" w:space="0"/>
              <w:left w:val="single" w:color="auto" w:sz="4" w:space="0"/>
              <w:bottom w:val="single" w:color="auto" w:sz="4" w:space="0"/>
              <w:right w:val="single" w:color="auto" w:sz="4" w:space="0"/>
            </w:tcBorders>
            <w:vAlign w:val="center"/>
          </w:tcPr>
          <w:p>
            <w:pPr>
              <w:pageBreakBefore w:val="0"/>
              <w:tabs>
                <w:tab w:val="center" w:pos="1111"/>
                <w:tab w:val="right" w:pos="2102"/>
              </w:tabs>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tabs>
                <w:tab w:val="center" w:pos="617"/>
              </w:tabs>
              <w:bidi w:val="0"/>
              <w:spacing w:line="400" w:lineRule="exact"/>
              <w:ind w:left="0" w:leftChars="0" w:right="0" w:rightChars="0" w:firstLine="480" w:firstLineChars="200"/>
              <w:jc w:val="center"/>
              <w:rPr>
                <w:sz w:val="24"/>
                <w:szCs w:val="24"/>
              </w:rPr>
            </w:pPr>
          </w:p>
        </w:tc>
        <w:tc>
          <w:tcPr>
            <w:tcW w:w="1963" w:type="dxa"/>
            <w:tcBorders>
              <w:top w:val="single" w:color="auto" w:sz="4" w:space="0"/>
              <w:left w:val="single" w:color="auto" w:sz="4" w:space="0"/>
              <w:bottom w:val="single" w:color="auto" w:sz="4" w:space="0"/>
              <w:right w:val="single" w:color="auto" w:sz="4" w:space="0"/>
            </w:tcBorders>
          </w:tcPr>
          <w:p>
            <w:pPr>
              <w:pageBreakBefore w:val="0"/>
              <w:tabs>
                <w:tab w:val="right" w:pos="1747"/>
              </w:tabs>
              <w:bidi w:val="0"/>
              <w:spacing w:line="400" w:lineRule="exact"/>
              <w:ind w:left="0" w:leftChars="0" w:right="0" w:rightChars="0" w:firstLine="480" w:firstLineChars="200"/>
              <w:jc w:val="center"/>
              <w:rPr>
                <w:sz w:val="24"/>
              </w:rPr>
            </w:pP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35" w:type="dxa"/>
            <w:tcBorders>
              <w:top w:val="single" w:color="auto" w:sz="4" w:space="0"/>
              <w:left w:val="single" w:color="auto" w:sz="4" w:space="0"/>
              <w:bottom w:val="single" w:color="auto" w:sz="4" w:space="0"/>
              <w:right w:val="single" w:color="auto" w:sz="4" w:space="0"/>
            </w:tcBorders>
            <w:vAlign w:val="center"/>
          </w:tcPr>
          <w:p>
            <w:pPr>
              <w:pageBreakBefore w:val="0"/>
              <w:tabs>
                <w:tab w:val="center" w:pos="1051"/>
              </w:tabs>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96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35"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96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35"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bl>
    <w:p>
      <w:pPr>
        <w:pageBreakBefore w:val="0"/>
        <w:bidi w:val="0"/>
        <w:spacing w:line="400" w:lineRule="exact"/>
        <w:ind w:left="0" w:leftChars="0" w:right="0" w:rightChars="0" w:firstLine="456" w:firstLineChars="200"/>
        <w:rPr>
          <w:rFonts w:ascii="宋体"/>
          <w:color w:val="000000"/>
          <w:spacing w:val="-6"/>
          <w:sz w:val="24"/>
          <w:szCs w:val="24"/>
        </w:rPr>
      </w:pPr>
    </w:p>
    <w:p>
      <w:pPr>
        <w:pageBreakBefore w:val="0"/>
        <w:bidi w:val="0"/>
        <w:spacing w:line="400" w:lineRule="exact"/>
        <w:ind w:left="0" w:leftChars="0" w:right="0" w:rightChars="0" w:firstLine="456" w:firstLineChars="200"/>
        <w:rPr>
          <w:rFonts w:ascii="宋体"/>
          <w:color w:val="000000"/>
          <w:spacing w:val="-6"/>
          <w:sz w:val="24"/>
          <w:szCs w:val="24"/>
        </w:rPr>
      </w:pPr>
    </w:p>
    <w:p>
      <w:pPr>
        <w:pageBreakBefore w:val="0"/>
        <w:bidi w:val="0"/>
        <w:spacing w:line="400" w:lineRule="exact"/>
        <w:ind w:left="0" w:leftChars="0" w:right="0" w:rightChars="0" w:firstLine="480" w:firstLineChars="200"/>
        <w:rPr>
          <w:rFonts w:ascii="宋体"/>
          <w:bCs/>
          <w:sz w:val="24"/>
          <w:szCs w:val="24"/>
        </w:rPr>
      </w:pPr>
    </w:p>
    <w:p>
      <w:pPr>
        <w:pageBreakBefore w:val="0"/>
        <w:bidi w:val="0"/>
        <w:spacing w:line="400" w:lineRule="exact"/>
        <w:ind w:left="0" w:leftChars="0" w:right="0" w:rightChars="0" w:firstLine="480" w:firstLineChars="200"/>
        <w:rPr>
          <w:rFonts w:ascii="宋体" w:hAnsi="宋体" w:cs="宋体"/>
          <w:bCs/>
          <w:kern w:val="0"/>
          <w:sz w:val="24"/>
          <w:szCs w:val="24"/>
        </w:rPr>
      </w:pPr>
      <w:r>
        <w:rPr>
          <w:rFonts w:hint="eastAsia" w:ascii="宋体" w:hAnsi="宋体" w:cs="宋体"/>
          <w:bCs/>
          <w:kern w:val="0"/>
          <w:sz w:val="24"/>
          <w:szCs w:val="24"/>
        </w:rPr>
        <w:t>采购人保留对本合同进一步修改、完善的权利。</w:t>
      </w:r>
    </w:p>
    <w:p>
      <w:pPr>
        <w:pageBreakBefore w:val="0"/>
        <w:bidi w:val="0"/>
        <w:spacing w:line="400" w:lineRule="exact"/>
        <w:ind w:left="0" w:leftChars="0" w:right="0" w:rightChars="0" w:firstLine="480" w:firstLineChars="200"/>
        <w:rPr>
          <w:rFonts w:ascii="宋体" w:hAnsi="宋体" w:cs="宋体"/>
          <w:bCs/>
          <w:kern w:val="0"/>
          <w:sz w:val="24"/>
          <w:szCs w:val="24"/>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Style w:val="23"/>
        <w:rPr>
          <w:rFonts w:ascii="宋体"/>
          <w:bCs/>
          <w:color w:val="0D0D0D" w:themeColor="text1" w:themeTint="F2"/>
          <w:kern w:val="0"/>
          <w:sz w:val="24"/>
          <w:szCs w:val="24"/>
          <w14:textFill>
            <w14:solidFill>
              <w14:schemeClr w14:val="tx1">
                <w14:lumMod w14:val="95000"/>
                <w14:lumOff w14:val="5000"/>
              </w14:schemeClr>
            </w14:solidFill>
          </w14:textFill>
        </w:rPr>
      </w:pPr>
    </w:p>
    <w:p>
      <w:pPr>
        <w:pStyle w:val="23"/>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widowControl/>
        <w:bidi w:val="0"/>
        <w:spacing w:line="400" w:lineRule="exact"/>
        <w:ind w:left="0" w:leftChars="0" w:right="0" w:rightChars="0" w:firstLine="643" w:firstLineChars="200"/>
        <w:jc w:val="center"/>
        <w:rPr>
          <w:rFonts w:hint="eastAsia" w:ascii="宋体" w:hAnsi="宋体" w:cs="宋体"/>
          <w:b/>
          <w:bCs/>
          <w:kern w:val="0"/>
          <w:sz w:val="32"/>
          <w:szCs w:val="32"/>
        </w:rPr>
      </w:pPr>
    </w:p>
    <w:p>
      <w:pPr>
        <w:pStyle w:val="23"/>
        <w:pageBreakBefore w:val="0"/>
        <w:bidi w:val="0"/>
        <w:spacing w:line="400" w:lineRule="exact"/>
        <w:ind w:left="0" w:leftChars="0" w:right="0" w:rightChars="0" w:firstLine="480" w:firstLineChars="200"/>
        <w:rPr>
          <w:color w:val="0D0D0D" w:themeColor="text1" w:themeTint="F2"/>
          <w:kern w:val="0"/>
          <w:sz w:val="24"/>
          <w:szCs w:val="20"/>
          <w14:textFill>
            <w14:solidFill>
              <w14:schemeClr w14:val="tx1">
                <w14:lumMod w14:val="95000"/>
                <w14:lumOff w14:val="5000"/>
              </w14:schemeClr>
            </w14:solidFill>
          </w14:textFill>
        </w:rPr>
      </w:pPr>
    </w:p>
    <w:p>
      <w:pPr>
        <w:pageBreakBefore w:val="0"/>
        <w:bidi w:val="0"/>
        <w:spacing w:line="400" w:lineRule="exact"/>
        <w:ind w:right="0" w:rightChars="0"/>
        <w:rPr>
          <w:rFonts w:ascii="宋体"/>
          <w:bCs/>
          <w:color w:val="0D0D0D" w:themeColor="text1" w:themeTint="F2"/>
          <w:sz w:val="10"/>
          <w:szCs w:val="10"/>
          <w14:textFill>
            <w14:solidFill>
              <w14:schemeClr w14:val="tx1">
                <w14:lumMod w14:val="95000"/>
                <w14:lumOff w14:val="5000"/>
              </w14:schemeClr>
            </w14:solidFill>
          </w14:textFill>
        </w:rPr>
      </w:pPr>
    </w:p>
    <w:p>
      <w:pPr>
        <w:pageBreakBefore w:val="0"/>
        <w:widowControl/>
        <w:numPr>
          <w:ilvl w:val="0"/>
          <w:numId w:val="13"/>
        </w:numPr>
        <w:tabs>
          <w:tab w:val="left" w:pos="0"/>
          <w:tab w:val="left" w:pos="993"/>
          <w:tab w:val="left" w:pos="1134"/>
        </w:tabs>
        <w:bidi w:val="0"/>
        <w:adjustRightInd w:val="0"/>
        <w:snapToGrid w:val="0"/>
        <w:spacing w:line="400" w:lineRule="exact"/>
        <w:ind w:left="0" w:leftChars="0" w:right="0" w:rightChars="0" w:firstLine="643" w:firstLineChars="200"/>
        <w:jc w:val="center"/>
        <w:rPr>
          <w:rFonts w:hint="eastAsia" w:ascii="宋体" w:hAnsi="宋体" w:cs="宋体"/>
          <w:b/>
          <w:bCs/>
          <w:sz w:val="32"/>
          <w:szCs w:val="32"/>
        </w:rPr>
      </w:pPr>
      <w:r>
        <w:rPr>
          <w:rFonts w:hint="eastAsia" w:ascii="宋体" w:hAnsi="宋体" w:cs="宋体"/>
          <w:b/>
          <w:bCs/>
          <w:sz w:val="32"/>
          <w:szCs w:val="32"/>
        </w:rPr>
        <w:t xml:space="preserve"> 评标方法与评标标准</w:t>
      </w:r>
    </w:p>
    <w:p>
      <w:pPr>
        <w:pStyle w:val="2"/>
        <w:numPr>
          <w:ilvl w:val="0"/>
          <w:numId w:val="0"/>
        </w:numPr>
      </w:pPr>
    </w:p>
    <w:p>
      <w:pPr>
        <w:pageBreakBefore w:val="0"/>
        <w:widowControl/>
        <w:tabs>
          <w:tab w:val="left" w:pos="0"/>
          <w:tab w:val="left" w:pos="993"/>
          <w:tab w:val="left" w:pos="1134"/>
        </w:tabs>
        <w:bidi w:val="0"/>
        <w:adjustRightInd w:val="0"/>
        <w:snapToGrid w:val="0"/>
        <w:spacing w:line="400" w:lineRule="exact"/>
        <w:ind w:left="0" w:leftChars="0" w:right="0" w:rightChars="0" w:firstLine="480" w:firstLineChars="200"/>
        <w:rPr>
          <w:rFonts w:ascii="宋体" w:hAnsi="宋体" w:cs="宋体"/>
          <w:bCs/>
          <w:sz w:val="24"/>
          <w:szCs w:val="24"/>
        </w:rPr>
      </w:pPr>
      <w:r>
        <w:rPr>
          <w:rFonts w:hint="eastAsia" w:ascii="宋体" w:hAnsi="宋体" w:cs="宋体"/>
          <w:bCs/>
          <w:sz w:val="24"/>
          <w:szCs w:val="24"/>
        </w:rPr>
        <w:t>一、评标定标原则</w:t>
      </w:r>
    </w:p>
    <w:p>
      <w:pPr>
        <w:pageBreakBefore w:val="0"/>
        <w:widowControl/>
        <w:tabs>
          <w:tab w:val="left" w:pos="0"/>
          <w:tab w:val="left" w:pos="993"/>
          <w:tab w:val="left" w:pos="1134"/>
        </w:tabs>
        <w:bidi w:val="0"/>
        <w:adjustRightInd w:val="0"/>
        <w:snapToGrid w:val="0"/>
        <w:spacing w:line="400" w:lineRule="exact"/>
        <w:ind w:left="0" w:leftChars="0" w:right="0" w:rightChars="0" w:firstLine="480" w:firstLineChars="200"/>
        <w:rPr>
          <w:rFonts w:ascii="宋体" w:hAnsi="宋体" w:cs="宋体"/>
          <w:bCs/>
          <w:sz w:val="24"/>
          <w:szCs w:val="24"/>
        </w:rPr>
      </w:pPr>
      <w:r>
        <w:rPr>
          <w:rFonts w:hint="eastAsia" w:ascii="宋体" w:hAnsi="宋体" w:cs="宋体"/>
          <w:bCs/>
          <w:sz w:val="24"/>
          <w:szCs w:val="24"/>
        </w:rPr>
        <w:t>根据有关法律及相关规定，坚持公平、公正、科学、择优的原则，反对不正当竞争。</w:t>
      </w:r>
    </w:p>
    <w:p>
      <w:pPr>
        <w:pageBreakBefore w:val="0"/>
        <w:widowControl/>
        <w:tabs>
          <w:tab w:val="left" w:pos="0"/>
          <w:tab w:val="left" w:pos="993"/>
          <w:tab w:val="left" w:pos="1134"/>
        </w:tabs>
        <w:bidi w:val="0"/>
        <w:adjustRightInd w:val="0"/>
        <w:snapToGrid w:val="0"/>
        <w:spacing w:line="400" w:lineRule="exact"/>
        <w:ind w:left="0" w:leftChars="0" w:right="0" w:rightChars="0" w:firstLine="480" w:firstLineChars="200"/>
        <w:rPr>
          <w:rFonts w:ascii="宋体" w:hAnsi="宋体" w:cs="宋体"/>
          <w:bCs/>
          <w:sz w:val="24"/>
          <w:szCs w:val="24"/>
        </w:rPr>
      </w:pPr>
      <w:r>
        <w:rPr>
          <w:rFonts w:hint="eastAsia" w:ascii="宋体" w:hAnsi="宋体" w:cs="宋体"/>
          <w:bCs/>
          <w:sz w:val="24"/>
          <w:szCs w:val="24"/>
        </w:rPr>
        <w:t>二、评标组织</w:t>
      </w:r>
    </w:p>
    <w:p>
      <w:pPr>
        <w:pageBreakBefore w:val="0"/>
        <w:widowControl/>
        <w:tabs>
          <w:tab w:val="left" w:pos="0"/>
          <w:tab w:val="left" w:pos="993"/>
          <w:tab w:val="left" w:pos="1134"/>
        </w:tabs>
        <w:bidi w:val="0"/>
        <w:adjustRightInd w:val="0"/>
        <w:snapToGrid w:val="0"/>
        <w:spacing w:line="400" w:lineRule="exact"/>
        <w:ind w:left="0" w:leftChars="0" w:right="0" w:rightChars="0" w:firstLine="480" w:firstLineChars="200"/>
        <w:rPr>
          <w:rFonts w:ascii="宋体" w:hAnsi="宋体" w:cs="宋体"/>
          <w:bCs/>
          <w:sz w:val="24"/>
          <w:szCs w:val="24"/>
        </w:rPr>
      </w:pPr>
      <w:r>
        <w:rPr>
          <w:rFonts w:hint="eastAsia" w:ascii="宋体" w:hAnsi="宋体" w:cs="宋体"/>
          <w:bCs/>
          <w:sz w:val="24"/>
          <w:szCs w:val="24"/>
          <w:lang w:eastAsia="zh-CN"/>
        </w:rPr>
        <w:t>由招标单位</w:t>
      </w:r>
      <w:r>
        <w:rPr>
          <w:rFonts w:hint="eastAsia" w:ascii="宋体" w:hAnsi="宋体" w:cs="宋体"/>
          <w:bCs/>
          <w:sz w:val="24"/>
          <w:szCs w:val="24"/>
        </w:rPr>
        <w:t>组建的评标委员会负责。</w:t>
      </w:r>
    </w:p>
    <w:p>
      <w:pPr>
        <w:pStyle w:val="4"/>
        <w:pageBreakBefore w:val="0"/>
        <w:bidi w:val="0"/>
        <w:spacing w:line="400" w:lineRule="exact"/>
        <w:ind w:left="0" w:leftChars="0" w:right="0" w:rightChars="0" w:firstLine="480" w:firstLineChars="200"/>
        <w:rPr>
          <w:rFonts w:eastAsia="宋体"/>
          <w:b w:val="0"/>
          <w:sz w:val="24"/>
          <w:szCs w:val="24"/>
        </w:rPr>
      </w:pPr>
      <w:r>
        <w:rPr>
          <w:rFonts w:hint="eastAsia" w:eastAsia="宋体" w:cs="宋体"/>
          <w:b w:val="0"/>
          <w:sz w:val="24"/>
          <w:szCs w:val="24"/>
        </w:rPr>
        <w:t>三、评标</w:t>
      </w:r>
      <w:r>
        <w:rPr>
          <w:rFonts w:hint="eastAsia" w:eastAsia="宋体" w:cs="宋体"/>
          <w:b w:val="0"/>
          <w:sz w:val="24"/>
          <w:szCs w:val="24"/>
          <w:lang w:eastAsia="zh-CN"/>
        </w:rPr>
        <w:t>方法</w:t>
      </w:r>
    </w:p>
    <w:p>
      <w:pPr>
        <w:adjustRightInd w:val="0"/>
        <w:snapToGrid w:val="0"/>
        <w:spacing w:line="500" w:lineRule="exact"/>
        <w:ind w:firstLine="555"/>
        <w:rPr>
          <w:rFonts w:hint="eastAsia" w:ascii="宋体" w:hAnsi="宋体"/>
          <w:sz w:val="24"/>
          <w:szCs w:val="24"/>
        </w:rPr>
      </w:pPr>
      <w:r>
        <w:rPr>
          <w:rFonts w:hint="eastAsia" w:ascii="宋体" w:hAnsi="宋体"/>
          <w:sz w:val="24"/>
          <w:szCs w:val="24"/>
        </w:rPr>
        <w:t>采购人或</w:t>
      </w:r>
      <w:r>
        <w:rPr>
          <w:rFonts w:hint="eastAsia" w:ascii="宋体" w:hAnsi="宋体"/>
          <w:sz w:val="24"/>
          <w:szCs w:val="24"/>
          <w:lang w:eastAsia="zh-CN"/>
        </w:rPr>
        <w:t>招标方</w:t>
      </w:r>
      <w:r>
        <w:rPr>
          <w:rFonts w:hint="eastAsia" w:ascii="宋体" w:hAnsi="宋体"/>
          <w:sz w:val="24"/>
          <w:szCs w:val="24"/>
        </w:rPr>
        <w:t>先开启</w:t>
      </w:r>
      <w:r>
        <w:rPr>
          <w:rFonts w:hint="eastAsia" w:ascii="宋体" w:hAnsi="宋体"/>
          <w:sz w:val="24"/>
          <w:szCs w:val="24"/>
          <w:lang w:eastAsia="zh-CN"/>
        </w:rPr>
        <w:t>投标</w:t>
      </w:r>
      <w:r>
        <w:rPr>
          <w:rFonts w:hint="eastAsia" w:ascii="宋体" w:hAnsi="宋体"/>
          <w:sz w:val="24"/>
          <w:szCs w:val="24"/>
        </w:rPr>
        <w:t>文件，采购人审查响应供应商资格，符合资格的供应商接受</w:t>
      </w:r>
      <w:r>
        <w:rPr>
          <w:rFonts w:hint="eastAsia" w:ascii="宋体" w:hAnsi="宋体"/>
          <w:sz w:val="24"/>
          <w:szCs w:val="24"/>
          <w:lang w:eastAsia="zh-CN"/>
        </w:rPr>
        <w:t>投标</w:t>
      </w:r>
      <w:r>
        <w:rPr>
          <w:rFonts w:hint="eastAsia" w:ascii="宋体" w:hAnsi="宋体"/>
          <w:sz w:val="24"/>
          <w:szCs w:val="24"/>
        </w:rPr>
        <w:t>小组的</w:t>
      </w:r>
      <w:r>
        <w:rPr>
          <w:rFonts w:hint="eastAsia" w:ascii="宋体" w:hAnsi="宋体"/>
          <w:sz w:val="24"/>
          <w:szCs w:val="24"/>
          <w:lang w:eastAsia="zh-CN"/>
        </w:rPr>
        <w:t>投标</w:t>
      </w:r>
      <w:r>
        <w:rPr>
          <w:rFonts w:hint="eastAsia" w:ascii="宋体" w:hAnsi="宋体"/>
          <w:sz w:val="24"/>
          <w:szCs w:val="24"/>
        </w:rPr>
        <w:t>，在质量和服务相等的前提下，报价最低者为成交供应商。</w:t>
      </w:r>
    </w:p>
    <w:p>
      <w:pPr>
        <w:pStyle w:val="23"/>
        <w:numPr>
          <w:ilvl w:val="0"/>
          <w:numId w:val="0"/>
        </w:numPr>
        <w:rPr>
          <w:rFonts w:hint="eastAsia" w:asciiTheme="minorEastAsia" w:hAnsiTheme="minorEastAsia" w:cstheme="minorEastAsia"/>
          <w:b/>
          <w:bCs/>
          <w:sz w:val="32"/>
          <w:szCs w:val="32"/>
          <w:highlight w:val="yellow"/>
          <w:lang w:val="en-US" w:eastAsia="zh-CN"/>
        </w:rPr>
      </w:pPr>
    </w:p>
    <w:p>
      <w:pPr>
        <w:pStyle w:val="23"/>
        <w:numPr>
          <w:ilvl w:val="0"/>
          <w:numId w:val="0"/>
        </w:numPr>
        <w:rPr>
          <w:rFonts w:hint="eastAsia" w:asciiTheme="minorEastAsia" w:hAnsiTheme="minorEastAsia" w:cstheme="minorEastAsia"/>
          <w:b/>
          <w:bCs/>
          <w:sz w:val="32"/>
          <w:szCs w:val="32"/>
          <w:highlight w:val="yellow"/>
          <w:lang w:val="en-US" w:eastAsia="zh-CN"/>
        </w:rPr>
      </w:pPr>
    </w:p>
    <w:p>
      <w:pPr>
        <w:pStyle w:val="23"/>
        <w:numPr>
          <w:ilvl w:val="0"/>
          <w:numId w:val="0"/>
        </w:numPr>
        <w:rPr>
          <w:rFonts w:hint="eastAsia" w:asciiTheme="minorEastAsia" w:hAnsiTheme="minorEastAsia" w:cstheme="minorEastAsia"/>
          <w:b/>
          <w:bCs/>
          <w:sz w:val="32"/>
          <w:szCs w:val="32"/>
          <w:highlight w:val="yellow"/>
          <w:lang w:val="en-US" w:eastAsia="zh-CN"/>
        </w:rPr>
      </w:pPr>
    </w:p>
    <w:p>
      <w:pPr>
        <w:pStyle w:val="23"/>
        <w:widowControl w:val="0"/>
        <w:numPr>
          <w:ilvl w:val="0"/>
          <w:numId w:val="0"/>
        </w:numPr>
        <w:jc w:val="both"/>
        <w:rPr>
          <w:rFonts w:hint="default" w:asciiTheme="minorEastAsia" w:hAnsiTheme="minorEastAsia" w:cstheme="minorEastAsia"/>
          <w:b/>
          <w:bCs/>
          <w:sz w:val="32"/>
          <w:szCs w:val="32"/>
          <w:highlight w:val="yellow"/>
          <w:lang w:val="en-US" w:eastAsia="zh-CN"/>
        </w:rPr>
      </w:pPr>
    </w:p>
    <w:p>
      <w:pPr>
        <w:pStyle w:val="23"/>
        <w:rPr>
          <w:rFonts w:hint="eastAsia" w:ascii="宋体" w:hAnsi="宋体" w:cs="宋体"/>
          <w:bCs/>
          <w:sz w:val="24"/>
          <w:szCs w:val="24"/>
        </w:rPr>
      </w:pPr>
    </w:p>
    <w:p>
      <w:pPr>
        <w:pageBreakBefore w:val="0"/>
        <w:bidi w:val="0"/>
        <w:spacing w:line="400" w:lineRule="exact"/>
        <w:ind w:left="0" w:leftChars="0" w:right="0" w:rightChars="0" w:firstLine="480" w:firstLineChars="200"/>
        <w:rPr>
          <w:rFonts w:ascii="宋体" w:hAnsi="宋体" w:cs="宋体"/>
          <w:bCs/>
          <w:sz w:val="24"/>
          <w:szCs w:val="24"/>
        </w:rPr>
      </w:pPr>
    </w:p>
    <w:p>
      <w:pPr>
        <w:pageBreakBefore w:val="0"/>
        <w:bidi w:val="0"/>
        <w:spacing w:line="400" w:lineRule="exact"/>
        <w:ind w:left="0" w:leftChars="0" w:right="0" w:rightChars="0" w:firstLine="480" w:firstLineChars="200"/>
        <w:rPr>
          <w:rFonts w:ascii="宋体" w:hAnsi="宋体" w:cs="宋体"/>
          <w:bCs/>
          <w:sz w:val="24"/>
          <w:szCs w:val="24"/>
        </w:rPr>
      </w:pPr>
    </w:p>
    <w:p>
      <w:pPr>
        <w:pageBreakBefore w:val="0"/>
        <w:bidi w:val="0"/>
        <w:spacing w:line="400" w:lineRule="exact"/>
        <w:ind w:right="0" w:rightChars="0"/>
        <w:jc w:val="both"/>
        <w:rPr>
          <w:rFonts w:hint="eastAsia" w:ascii="宋体"/>
          <w:bCs/>
          <w:sz w:val="24"/>
          <w:szCs w:val="24"/>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Style w:val="23"/>
        <w:rPr>
          <w:rFonts w:hint="eastAsia"/>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t>第六章  投标文件格式</w:t>
      </w:r>
    </w:p>
    <w:p>
      <w:pPr>
        <w:pageBreakBefore w:val="0"/>
        <w:bidi w:val="0"/>
        <w:spacing w:line="400" w:lineRule="exact"/>
        <w:ind w:left="0" w:leftChars="0" w:right="0" w:rightChars="0" w:firstLine="1440" w:firstLineChars="200"/>
        <w:jc w:val="center"/>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ageBreakBefore w:val="0"/>
        <w:bidi w:val="0"/>
        <w:spacing w:line="400" w:lineRule="exact"/>
        <w:ind w:left="0" w:leftChars="0" w:right="0" w:rightChars="0" w:firstLine="1440" w:firstLineChars="200"/>
        <w:jc w:val="center"/>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pageBreakBefore w:val="0"/>
        <w:bidi w:val="0"/>
        <w:spacing w:line="400" w:lineRule="exact"/>
        <w:ind w:left="0" w:leftChars="0" w:right="0" w:rightChars="0" w:firstLine="1440" w:firstLineChars="200"/>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keepNext w:val="0"/>
        <w:keepLines w:val="0"/>
        <w:pageBreakBefore w:val="0"/>
        <w:widowControl w:val="0"/>
        <w:kinsoku/>
        <w:wordWrap/>
        <w:topLinePunct w:val="0"/>
        <w:bidi w:val="0"/>
        <w:snapToGrid/>
        <w:spacing w:line="600" w:lineRule="exact"/>
        <w:ind w:left="0" w:leftChars="0" w:right="0" w:rightChars="0" w:firstLine="1440" w:firstLineChars="200"/>
        <w:textAlignment w:val="auto"/>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keepNext w:val="0"/>
        <w:keepLines w:val="0"/>
        <w:pageBreakBefore w:val="0"/>
        <w:widowControl w:val="0"/>
        <w:kinsoku/>
        <w:wordWrap/>
        <w:topLinePunct w:val="0"/>
        <w:bidi w:val="0"/>
        <w:snapToGrid/>
        <w:spacing w:line="600" w:lineRule="exact"/>
        <w:ind w:left="0" w:leftChars="0" w:right="0" w:rightChars="0" w:firstLine="1440" w:firstLineChars="200"/>
        <w:textAlignment w:val="auto"/>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keepNext w:val="0"/>
        <w:keepLines w:val="0"/>
        <w:pageBreakBefore w:val="0"/>
        <w:widowControl w:val="0"/>
        <w:kinsoku/>
        <w:wordWrap/>
        <w:topLinePunct w:val="0"/>
        <w:bidi w:val="0"/>
        <w:snapToGrid/>
        <w:spacing w:line="600" w:lineRule="exact"/>
        <w:ind w:left="0" w:leftChars="0" w:right="0" w:rightChars="0" w:firstLine="1440" w:firstLineChars="200"/>
        <w:textAlignment w:val="auto"/>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keepNext w:val="0"/>
        <w:keepLines w:val="0"/>
        <w:pageBreakBefore w:val="0"/>
        <w:widowControl w:val="0"/>
        <w:kinsoku/>
        <w:wordWrap/>
        <w:topLinePunct w:val="0"/>
        <w:bidi w:val="0"/>
        <w:snapToGrid/>
        <w:spacing w:line="600" w:lineRule="exact"/>
        <w:ind w:left="0" w:leftChars="0" w:right="0" w:rightChars="0" w:firstLine="1440" w:firstLineChars="200"/>
        <w:textAlignment w:val="auto"/>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keepNext w:val="0"/>
        <w:keepLines w:val="0"/>
        <w:pageBreakBefore w:val="0"/>
        <w:widowControl w:val="0"/>
        <w:kinsoku/>
        <w:wordWrap/>
        <w:topLinePunct w:val="0"/>
        <w:bidi w:val="0"/>
        <w:snapToGrid/>
        <w:spacing w:line="600" w:lineRule="exact"/>
        <w:ind w:left="0" w:leftChars="0" w:right="0" w:rightChars="0" w:firstLine="964" w:firstLineChars="200"/>
        <w:jc w:val="center"/>
        <w:textAlignment w:val="auto"/>
        <w:rPr>
          <w:rFonts w:asciiTheme="majorEastAsia" w:hAnsiTheme="majorEastAsia" w:eastAsiaTheme="majorEastAsia"/>
          <w:b/>
          <w:color w:val="0D0D0D" w:themeColor="text1" w:themeTint="F2"/>
          <w:sz w:val="48"/>
          <w:szCs w:val="48"/>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48"/>
          <w:szCs w:val="48"/>
          <w14:textFill>
            <w14:solidFill>
              <w14:schemeClr w14:val="tx1">
                <w14:lumMod w14:val="95000"/>
                <w14:lumOff w14:val="5000"/>
              </w14:schemeClr>
            </w14:solidFill>
          </w14:textFill>
        </w:rPr>
        <w:t>投 标 文 件</w:t>
      </w: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ageBreakBefore w:val="0"/>
        <w:bidi w:val="0"/>
        <w:spacing w:line="400" w:lineRule="exact"/>
        <w:ind w:right="0" w:rightChars="0" w:firstLine="1280" w:firstLineChars="400"/>
        <w:rPr>
          <w:rFonts w:ascii="宋体" w:hAnsi="宋体" w:cs="宋体"/>
          <w:bCs/>
          <w:sz w:val="32"/>
          <w:szCs w:val="32"/>
        </w:rPr>
      </w:pPr>
      <w:r>
        <w:rPr>
          <w:rFonts w:hint="eastAsia" w:ascii="宋体" w:hAnsi="宋体" w:cs="宋体"/>
          <w:bCs/>
          <w:sz w:val="32"/>
          <w:szCs w:val="32"/>
        </w:rPr>
        <w:t>项 目名 称：</w:t>
      </w:r>
    </w:p>
    <w:p>
      <w:pPr>
        <w:pageBreakBefore w:val="0"/>
        <w:bidi w:val="0"/>
        <w:spacing w:line="400" w:lineRule="exact"/>
        <w:ind w:right="0" w:rightChars="0" w:firstLine="1280" w:firstLineChars="400"/>
        <w:rPr>
          <w:rFonts w:ascii="宋体" w:hAnsi="宋体" w:cs="宋体"/>
          <w:bCs/>
          <w:sz w:val="32"/>
          <w:szCs w:val="32"/>
        </w:rPr>
      </w:pPr>
      <w:r>
        <w:rPr>
          <w:rFonts w:hint="eastAsia" w:ascii="宋体" w:hAnsi="宋体" w:cs="宋体"/>
          <w:bCs/>
          <w:sz w:val="32"/>
          <w:szCs w:val="32"/>
        </w:rPr>
        <w:t>采购人名称：</w:t>
      </w:r>
    </w:p>
    <w:p>
      <w:pPr>
        <w:pageBreakBefore w:val="0"/>
        <w:bidi w:val="0"/>
        <w:spacing w:line="400" w:lineRule="exact"/>
        <w:ind w:right="0" w:rightChars="0" w:firstLine="1280" w:firstLineChars="400"/>
        <w:rPr>
          <w:rFonts w:ascii="宋体" w:hAnsi="宋体" w:cs="宋体"/>
          <w:bCs/>
          <w:sz w:val="32"/>
          <w:szCs w:val="32"/>
        </w:rPr>
      </w:pPr>
      <w:r>
        <w:rPr>
          <w:rFonts w:hint="eastAsia" w:ascii="宋体" w:hAnsi="宋体" w:cs="宋体"/>
          <w:bCs/>
          <w:sz w:val="32"/>
          <w:szCs w:val="32"/>
        </w:rPr>
        <w:t>投标人名称：</w:t>
      </w:r>
    </w:p>
    <w:p>
      <w:pPr>
        <w:pageBreakBefore w:val="0"/>
        <w:bidi w:val="0"/>
        <w:spacing w:line="400" w:lineRule="exact"/>
        <w:ind w:right="0" w:rightChars="0" w:firstLine="1280" w:firstLineChars="400"/>
        <w:rPr>
          <w:rFonts w:ascii="宋体" w:hAnsi="宋体" w:cs="宋体"/>
          <w:bCs/>
          <w:sz w:val="32"/>
          <w:szCs w:val="32"/>
        </w:rPr>
      </w:pPr>
      <w:r>
        <w:rPr>
          <w:rFonts w:hint="eastAsia" w:ascii="宋体" w:hAnsi="宋体" w:cs="宋体"/>
          <w:bCs/>
          <w:sz w:val="32"/>
          <w:szCs w:val="32"/>
        </w:rPr>
        <w:t>日      期：</w:t>
      </w:r>
    </w:p>
    <w:p>
      <w:pPr>
        <w:pageBreakBefore w:val="0"/>
        <w:bidi w:val="0"/>
        <w:spacing w:line="400" w:lineRule="exact"/>
        <w:ind w:left="0" w:leftChars="0" w:right="0" w:rightChars="0" w:firstLine="480" w:firstLineChars="200"/>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ageBreakBefore w:val="0"/>
        <w:bidi w:val="0"/>
        <w:spacing w:line="400" w:lineRule="exact"/>
        <w:ind w:left="0" w:leftChars="0" w:right="0" w:rightChars="0" w:firstLine="420" w:firstLineChars="200"/>
        <w:jc w:val="cente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pPr>
    </w:p>
    <w:p>
      <w:pPr>
        <w:pageBreakBefore w:val="0"/>
        <w:bidi w:val="0"/>
        <w:spacing w:line="400" w:lineRule="exact"/>
        <w:ind w:left="0" w:leftChars="0" w:right="0" w:rightChars="0" w:firstLine="420" w:firstLineChars="200"/>
        <w:jc w:val="cente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pPr>
    </w:p>
    <w:p>
      <w:pPr>
        <w:pageBreakBefore w:val="0"/>
        <w:bidi w:val="0"/>
        <w:spacing w:line="400" w:lineRule="exact"/>
        <w:ind w:left="0" w:leftChars="0" w:right="0" w:rightChars="0" w:firstLine="420" w:firstLineChars="200"/>
        <w:jc w:val="center"/>
        <w:rPr>
          <w:rFonts w:cs="宋体" w:asciiTheme="majorEastAsia" w:hAnsiTheme="majorEastAsia" w:eastAsiaTheme="majorEastAsia"/>
          <w:color w:val="0D0D0D" w:themeColor="text1" w:themeTint="F2"/>
          <w:sz w:val="28"/>
          <w:szCs w:val="20"/>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t>一、</w:t>
      </w:r>
      <w:r>
        <w:rPr>
          <w:rFonts w:hint="eastAsia" w:cs="宋体" w:asciiTheme="majorEastAsia" w:hAnsiTheme="majorEastAsia" w:eastAsiaTheme="majorEastAsia"/>
          <w:color w:val="0D0D0D" w:themeColor="text1" w:themeTint="F2"/>
          <w:sz w:val="28"/>
          <w:szCs w:val="20"/>
          <w14:textFill>
            <w14:solidFill>
              <w14:schemeClr w14:val="tx1">
                <w14:lumMod w14:val="95000"/>
                <w14:lumOff w14:val="5000"/>
              </w14:schemeClr>
            </w14:solidFill>
          </w14:textFill>
        </w:rPr>
        <w:t>法定代表人身份证明书</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投 标 人：</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单位性质：</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地    址：</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成立时间：</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年月日</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经营期限：</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姓    名：</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性     别：</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年    龄：</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职     务：</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系（投标人名称）的法定代表人。</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特此证明。</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ageBreakBefore w:val="0"/>
        <w:wordWrap w:val="0"/>
        <w:bidi w:val="0"/>
        <w:spacing w:line="400" w:lineRule="exact"/>
        <w:ind w:left="0" w:leftChars="0" w:right="0" w:rightChars="0" w:firstLine="480" w:firstLineChars="200"/>
        <w:jc w:val="right"/>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投标人：（盖单位章）</w:t>
      </w:r>
    </w:p>
    <w:p>
      <w:pPr>
        <w:pageBreakBefore w:val="0"/>
        <w:wordWrap w:val="0"/>
        <w:bidi w:val="0"/>
        <w:spacing w:line="400" w:lineRule="exact"/>
        <w:ind w:left="0" w:leftChars="0" w:right="0" w:rightChars="0" w:firstLine="480" w:firstLineChars="200"/>
        <w:jc w:val="right"/>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年</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月</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日</w:t>
      </w:r>
    </w:p>
    <w:p>
      <w:pPr>
        <w:pageBreakBefore w:val="0"/>
        <w:bidi w:val="0"/>
        <w:spacing w:line="400" w:lineRule="exact"/>
        <w:ind w:left="0" w:leftChars="0" w:right="0" w:rightChars="0" w:firstLine="720" w:firstLineChars="200"/>
        <w:rPr>
          <w:rFonts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附：法定代表人身份证复印件</w:t>
      </w: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560" w:firstLineChars="200"/>
        <w:jc w:val="center"/>
        <w:rPr>
          <w:rFonts w:asciiTheme="majorEastAsia" w:hAnsiTheme="majorEastAsia" w:eastAsiaTheme="majorEastAsia"/>
          <w:color w:val="0D0D0D" w:themeColor="text1" w:themeTint="F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t>二、法定代表人授权委托书</w:t>
      </w:r>
    </w:p>
    <w:p>
      <w:pPr>
        <w:pStyle w:val="383"/>
        <w:pageBreakBefore w:val="0"/>
        <w:bidi w:val="0"/>
        <w:spacing w:line="400" w:lineRule="exact"/>
        <w:ind w:left="0" w:leftChars="0" w:right="0" w:rightChars="0" w:firstLine="560" w:firstLineChars="200"/>
        <w:jc w:val="center"/>
        <w:rPr>
          <w:rFonts w:asciiTheme="majorEastAsia" w:hAnsiTheme="majorEastAsia" w:eastAsiaTheme="majorEastAsia"/>
          <w:color w:val="0D0D0D" w:themeColor="text1" w:themeTint="F2"/>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本授权书声明：____________（供应商名称）授权________________（被授权人的姓名）为我方就项目采购活动的合法代理人，以本公司名义全权处理一切与该项目采购有关的事务。</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本授权书于______年____月____日起生效，特此声明。</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代理人（被授权人）：_______________________</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单位名称：_____________________________________</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授权单位盖章：_________________________________</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法定代表人签字</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：_____________________________________</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日期：                    </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附：委托代理人身份证复印件</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Style w:val="16"/>
        <w:pageBreakBefore w:val="0"/>
        <w:kinsoku w:val="0"/>
        <w:topLinePunct/>
        <w:autoSpaceDE w:val="0"/>
        <w:autoSpaceDN w:val="0"/>
        <w:bidi w:val="0"/>
        <w:snapToGrid w:val="0"/>
        <w:spacing w:line="400" w:lineRule="exact"/>
        <w:ind w:left="0" w:leftChars="0" w:right="0" w:rightChars="0" w:firstLine="480" w:firstLineChars="200"/>
        <w:rPr>
          <w:rFonts w:asciiTheme="majorEastAsia" w:hAnsiTheme="majorEastAsia" w:eastAsiaTheme="majorEastAsia"/>
          <w:color w:val="0D0D0D" w:themeColor="text1" w:themeTint="F2"/>
          <w14:textFill>
            <w14:solidFill>
              <w14:schemeClr w14:val="tx1">
                <w14:lumMod w14:val="95000"/>
                <w14:lumOff w14:val="5000"/>
              </w14:schemeClr>
            </w14:solidFill>
          </w14:textFill>
        </w:rPr>
      </w:pPr>
    </w:p>
    <w:p>
      <w:pPr>
        <w:pageBreakBefore w:val="0"/>
        <w:widowControl/>
        <w:bidi w:val="0"/>
        <w:spacing w:line="400" w:lineRule="exact"/>
        <w:ind w:left="0" w:leftChars="0" w:right="0" w:rightChars="0" w:firstLine="720" w:firstLineChars="200"/>
        <w:jc w:val="left"/>
        <w:rPr>
          <w:rFonts w:asciiTheme="majorEastAsia" w:hAnsiTheme="majorEastAsia" w:eastAsiaTheme="majorEastAsia"/>
          <w:color w:val="0D0D0D" w:themeColor="text1" w:themeTint="F2"/>
          <w:kern w:val="0"/>
          <w:sz w:val="36"/>
          <w:szCs w:val="36"/>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right="0" w:rightChars="0"/>
        <w:jc w:val="both"/>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asciiTheme="majorEastAsia" w:hAnsiTheme="majorEastAsia" w:eastAsiaTheme="majorEastAsia"/>
          <w:color w:val="0D0D0D" w:themeColor="text1" w:themeTint="F2"/>
          <w:sz w:val="28"/>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t>三、投标声明函</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jc w:val="left"/>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asciiTheme="majorEastAsia" w:hAnsiTheme="majorEastAsia" w:eastAsiaTheme="majorEastAsia"/>
          <w:bCs/>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bCs/>
          <w:color w:val="0D0D0D" w:themeColor="text1" w:themeTint="F2"/>
          <w:sz w:val="24"/>
          <w14:textFill>
            <w14:solidFill>
              <w14:schemeClr w14:val="tx1">
                <w14:lumMod w14:val="95000"/>
                <w14:lumOff w14:val="5000"/>
              </w14:schemeClr>
            </w14:solidFill>
          </w14:textFill>
        </w:rPr>
        <w:t>致：</w:t>
      </w:r>
      <w:r>
        <w:rPr>
          <w:rFonts w:hint="eastAsia" w:cs="宋体" w:asciiTheme="majorEastAsia" w:hAnsiTheme="majorEastAsia" w:eastAsiaTheme="majorEastAsia"/>
          <w:color w:val="0D0D0D" w:themeColor="text1" w:themeTint="F2"/>
          <w:kern w:val="0"/>
          <w:sz w:val="24"/>
          <w:szCs w:val="20"/>
          <w:u w:val="single"/>
          <w:shd w:val="clear" w:color="auto" w:fill="FFFFFF"/>
          <w14:textFill>
            <w14:solidFill>
              <w14:schemeClr w14:val="tx1">
                <w14:lumMod w14:val="95000"/>
                <w14:lumOff w14:val="5000"/>
              </w14:schemeClr>
            </w14:solidFill>
          </w14:textFill>
        </w:rPr>
        <w:t xml:space="preserve">     （采购人）      </w:t>
      </w:r>
      <w:r>
        <w:rPr>
          <w:rFonts w:hint="eastAsia" w:asciiTheme="majorEastAsia" w:hAnsiTheme="majorEastAsia" w:eastAsiaTheme="majorEastAsia"/>
          <w:bCs/>
          <w:color w:val="0D0D0D" w:themeColor="text1" w:themeTint="F2"/>
          <w:sz w:val="24"/>
          <w14:textFill>
            <w14:solidFill>
              <w14:schemeClr w14:val="tx1">
                <w14:lumMod w14:val="95000"/>
                <w14:lumOff w14:val="5000"/>
              </w14:schemeClr>
            </w14:solidFill>
          </w14:textFill>
        </w:rPr>
        <w:t xml:space="preserve">：   </w:t>
      </w:r>
    </w:p>
    <w:p>
      <w:pPr>
        <w:keepNext w:val="0"/>
        <w:keepLines w:val="0"/>
        <w:pageBreakBefore w:val="0"/>
        <w:widowControl w:val="0"/>
        <w:numPr>
          <w:ilvl w:val="0"/>
          <w:numId w:val="0"/>
        </w:numPr>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1、</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我方承诺完全具备</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《中华人民共和国政府采购法》第二十二条规定的条件</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且符合、承认并承诺履行招标文件各项规定的国内法人、其他组织（不包括在港澳台地区注册成立的法人、其它组织）以及本项目招标文件规定的投标人须满足的特定条件。</w:t>
      </w:r>
    </w:p>
    <w:p>
      <w:pPr>
        <w:keepNext w:val="0"/>
        <w:keepLines w:val="0"/>
        <w:pageBreakBefore w:val="0"/>
        <w:widowControl w:val="0"/>
        <w:numPr>
          <w:ilvl w:val="0"/>
          <w:numId w:val="0"/>
        </w:numPr>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2、</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我方承诺信用记录中未被“信用中国”网站(</w:t>
      </w:r>
      <w:r>
        <w:fldChar w:fldCharType="begin"/>
      </w:r>
      <w:r>
        <w:instrText xml:space="preserve"> HYPERLINK "http://www.creditchina.gov.cn" </w:instrText>
      </w:r>
      <w:r>
        <w:fldChar w:fldCharType="separate"/>
      </w:r>
      <w:r>
        <w:rPr>
          <w:rStyle w:val="62"/>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www.creditchina.gov.cn</w:t>
      </w:r>
      <w:r>
        <w:rPr>
          <w:rStyle w:val="62"/>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)、中华人民</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共和国</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最高人民法院网站</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fldChar w:fldCharType="begin"/>
      </w:r>
      <w:r>
        <w:instrText xml:space="preserve"> HYPERLINK "http://www.court.gov.cn/"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http://www.court.gov.cn</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等渠道列入信用记录失信被执行人，未被中国政府采购网(</w:t>
      </w:r>
      <w:r>
        <w:fldChar w:fldCharType="begin"/>
      </w:r>
      <w:r>
        <w:instrText xml:space="preserve"> HYPERLINK "http://www.ccgp.gov.cn" </w:instrText>
      </w:r>
      <w:r>
        <w:fldChar w:fldCharType="separate"/>
      </w:r>
      <w:r>
        <w:rPr>
          <w:rStyle w:val="62"/>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www.ccgp.gov.cn</w:t>
      </w:r>
      <w:r>
        <w:rPr>
          <w:rStyle w:val="62"/>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)等渠道列入政府采购严重违法失信行为记录名单，未被中华人民共和国应急管理部网站</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fldChar w:fldCharType="begin"/>
      </w:r>
      <w:r>
        <w:instrText xml:space="preserve"> HYPERLINK "http://www.chinasafety.gov.cn/"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http://www.chinasafety.gov.cn</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等渠道列入</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安全生产失信联合惩戒“</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黑名单</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 未被国家税务总局</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网站（</w:t>
      </w:r>
      <w:r>
        <w:fldChar w:fldCharType="begin"/>
      </w:r>
      <w:r>
        <w:instrText xml:space="preserve"> HYPERLINK "http://hd.chinatax.gov.cn/xxk/"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http://hd.chinatax.gov.cn/xxk</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列入</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重大税收违法案件当事人名单，未被国家企业</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信用信息公示系统（</w:t>
      </w:r>
      <w:r>
        <w:fldChar w:fldCharType="begin"/>
      </w:r>
      <w:r>
        <w:instrText xml:space="preserve"> HYPERLINK "http://www.gsxt.gov.cn"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http://www.gsxt.gov.cn</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列入</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经营异常名录、严重违法</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失信企业名单</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，未被</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全国公共资源交易平台（</w:t>
      </w:r>
      <w:r>
        <w:fldChar w:fldCharType="begin"/>
      </w:r>
      <w:r>
        <w:instrText xml:space="preserve"> HYPERLINK "http://www.ggzy.gov.cn"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http://www.ggzy.gov.cn</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列入</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黑名单，否则，可将我方的投标文件按照无效投标文件处理。</w:t>
      </w:r>
    </w:p>
    <w:p>
      <w:pPr>
        <w:keepNext w:val="0"/>
        <w:keepLines w:val="0"/>
        <w:pageBreakBefore w:val="0"/>
        <w:widowControl w:val="0"/>
        <w:numPr>
          <w:ilvl w:val="0"/>
          <w:numId w:val="0"/>
        </w:numPr>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kern w:val="0"/>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kern w:val="0"/>
          <w:sz w:val="24"/>
          <w:lang w:val="en-US" w:eastAsia="zh-CN"/>
          <w14:textFill>
            <w14:solidFill>
              <w14:schemeClr w14:val="tx1">
                <w14:lumMod w14:val="95000"/>
                <w14:lumOff w14:val="5000"/>
              </w14:schemeClr>
            </w14:solidFill>
          </w14:textFill>
        </w:rPr>
        <w:t>3、</w:t>
      </w:r>
      <w:r>
        <w:rPr>
          <w:rFonts w:hint="eastAsia" w:asciiTheme="majorEastAsia" w:hAnsiTheme="majorEastAsia" w:eastAsiaTheme="majorEastAsia"/>
          <w:color w:val="0D0D0D" w:themeColor="text1" w:themeTint="F2"/>
          <w:kern w:val="0"/>
          <w:sz w:val="24"/>
          <w14:textFill>
            <w14:solidFill>
              <w14:schemeClr w14:val="tx1">
                <w14:lumMod w14:val="95000"/>
                <w14:lumOff w14:val="5000"/>
              </w14:schemeClr>
            </w14:solidFill>
          </w14:textFill>
        </w:rPr>
        <w:t>我方承诺参加本次采购活动前三年内，在经营活动中没有重大违法记录，否则，可将我方的投标文件按照无效投标文件处理。</w:t>
      </w:r>
    </w:p>
    <w:p>
      <w:pPr>
        <w:keepNext w:val="0"/>
        <w:keepLines w:val="0"/>
        <w:pageBreakBefore w:val="0"/>
        <w:widowControl w:val="0"/>
        <w:numPr>
          <w:ilvl w:val="0"/>
          <w:numId w:val="0"/>
        </w:numPr>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4、</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我方承诺按照本项目招标文件和相关技术标准的条件，提供货物及相关服务，并承担因货物质量或服务等引起的一切责任。</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5、</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我方对本项目招标文件（包括修改文件及有关附件）完全理解，并承诺在发生争议时，不会以对招标文件存在误解、不明为由，向你方行使任何法律上的抗辩权。</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6、</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我方投标文件有效期为自开标日起</w:t>
      </w:r>
      <w:r>
        <w:rPr>
          <w:rFonts w:hint="eastAsia" w:asciiTheme="majorEastAsia" w:hAnsiTheme="majorEastAsia" w:eastAsiaTheme="majorEastAsia"/>
          <w:color w:val="0D0D0D" w:themeColor="text1" w:themeTint="F2"/>
          <w:sz w:val="24"/>
          <w:u w:val="single"/>
          <w14:textFill>
            <w14:solidFill>
              <w14:schemeClr w14:val="tx1">
                <w14:lumMod w14:val="95000"/>
                <w14:lumOff w14:val="5000"/>
              </w14:schemeClr>
            </w14:solidFill>
          </w14:textFill>
        </w:rPr>
        <w:t>60</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天，若中标，则投标有效期自动延续至合同履行完毕。</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7、</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我方承诺接受招标文件规定的付款方式。</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8、</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9、</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10、</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委托授权(姓名：_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11、</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我方承诺将严格遵守相关法律法规，若存在违法违规行为，将承担相应的法律后果。</w:t>
      </w:r>
    </w:p>
    <w:p>
      <w:pPr>
        <w:pageBreakBefore w:val="0"/>
        <w:tabs>
          <w:tab w:val="left" w:pos="945"/>
        </w:tabs>
        <w:bidi w:val="0"/>
        <w:adjustRightInd w:val="0"/>
        <w:snapToGrid w:val="0"/>
        <w:spacing w:line="400" w:lineRule="exact"/>
        <w:ind w:left="0" w:leftChars="0" w:right="0" w:rightChars="0" w:firstLine="480" w:firstLineChars="200"/>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tabs>
          <w:tab w:val="left" w:pos="945"/>
        </w:tabs>
        <w:bidi w:val="0"/>
        <w:adjustRightInd w:val="0"/>
        <w:snapToGrid w:val="0"/>
        <w:spacing w:line="400" w:lineRule="exact"/>
        <w:ind w:left="0" w:leftChars="0" w:right="0" w:rightChars="0" w:firstLine="480" w:firstLineChars="200"/>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tabs>
          <w:tab w:val="left" w:pos="945"/>
        </w:tabs>
        <w:bidi w:val="0"/>
        <w:adjustRightInd w:val="0"/>
        <w:snapToGrid w:val="0"/>
        <w:spacing w:line="400" w:lineRule="exact"/>
        <w:ind w:left="0" w:leftChars="0" w:right="0" w:rightChars="0" w:firstLine="480" w:firstLineChars="200"/>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tabs>
          <w:tab w:val="left" w:pos="945"/>
        </w:tabs>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法定代表人签字或盖章：</w:t>
      </w:r>
    </w:p>
    <w:p>
      <w:pPr>
        <w:pageBreakBefore w:val="0"/>
        <w:tabs>
          <w:tab w:val="left" w:pos="945"/>
        </w:tabs>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投标人公章：</w:t>
      </w: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日期：</w:t>
      </w: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p>
    <w:p>
      <w:pPr>
        <w:pageBreakBefore w:val="0"/>
        <w:numPr>
          <w:ilvl w:val="0"/>
          <w:numId w:val="14"/>
        </w:numPr>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14:textFill>
            <w14:solidFill>
              <w14:schemeClr w14:val="tx1">
                <w14:lumMod w14:val="95000"/>
                <w14:lumOff w14:val="5000"/>
              </w14:schemeClr>
            </w14:solidFill>
          </w14:textFill>
        </w:rPr>
        <w:t>投标人资格声明</w:t>
      </w:r>
    </w:p>
    <w:p>
      <w:pPr>
        <w:pStyle w:val="2"/>
        <w:widowControl w:val="0"/>
        <w:numPr>
          <w:ilvl w:val="0"/>
          <w:numId w:val="0"/>
        </w:numPr>
        <w:snapToGrid w:val="0"/>
        <w:jc w:val="left"/>
      </w:pP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（1）投标人名称：                            </w:t>
      </w:r>
    </w:p>
    <w:p>
      <w:pPr>
        <w:pageBreakBefore w:val="0"/>
        <w:tabs>
          <w:tab w:val="left" w:pos="4320"/>
        </w:tabs>
        <w:bidi w:val="0"/>
        <w:spacing w:line="400" w:lineRule="exact"/>
        <w:ind w:left="0" w:leftChars="0" w:right="0" w:rightChars="0" w:firstLine="480" w:firstLineChars="200"/>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（2）地址：                             邮编：                   </w:t>
      </w:r>
    </w:p>
    <w:p>
      <w:pPr>
        <w:pageBreakBefore w:val="0"/>
        <w:tabs>
          <w:tab w:val="left" w:pos="4320"/>
        </w:tabs>
        <w:bidi w:val="0"/>
        <w:spacing w:line="400" w:lineRule="exact"/>
        <w:ind w:right="0" w:rightChars="0" w:firstLine="960" w:firstLineChars="4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电话：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（3）成立和/或注册日期：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（4）单位性质：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（5）法定代表人或主要负责人：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（6）从业人员数：</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（7）营业收入：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（8）资产总额：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兹证明上述声明是真实的、正确的，并提供了全部能提供的资料和数据，我们同意遵照贵方要求出示有关证明文件。</w:t>
      </w:r>
    </w:p>
    <w:p>
      <w:pPr>
        <w:pageBreakBefore w:val="0"/>
        <w:bidi w:val="0"/>
        <w:spacing w:line="400" w:lineRule="exact"/>
        <w:ind w:left="0" w:leftChars="0" w:right="0" w:rightChars="0" w:firstLine="3600" w:firstLineChars="15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投标人公章：                         </w:t>
      </w:r>
    </w:p>
    <w:p>
      <w:pPr>
        <w:pageBreakBefore w:val="0"/>
        <w:bidi w:val="0"/>
        <w:spacing w:line="400" w:lineRule="exact"/>
        <w:ind w:left="0" w:leftChars="0" w:right="0" w:rightChars="0" w:firstLine="3600" w:firstLineChars="1500"/>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投标人法定代表人（主要负责人）</w:t>
      </w:r>
    </w:p>
    <w:p>
      <w:pPr>
        <w:pageBreakBefore w:val="0"/>
        <w:bidi w:val="0"/>
        <w:spacing w:line="400" w:lineRule="exact"/>
        <w:ind w:left="0" w:leftChars="0" w:right="0" w:rightChars="0" w:firstLine="3600" w:firstLineChars="15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或委托代理人签字：                          </w:t>
      </w:r>
    </w:p>
    <w:p>
      <w:pPr>
        <w:pageBreakBefore w:val="0"/>
        <w:bidi w:val="0"/>
        <w:spacing w:line="400" w:lineRule="exact"/>
        <w:ind w:left="0" w:leftChars="0" w:right="0" w:rightChars="0" w:firstLine="480" w:firstLineChars="200"/>
        <w:jc w:val="center"/>
        <w:rPr>
          <w:rFonts w:hint="eastAsia" w:ascii="宋体" w:hAnsi="宋体" w:cs="宋体"/>
          <w:color w:val="0D0D0D" w:themeColor="text1" w:themeTint="F2"/>
          <w:sz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jc w:val="center"/>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日    期：   </w:t>
      </w:r>
    </w:p>
    <w:p>
      <w:pPr>
        <w:pageBreakBefore w:val="0"/>
        <w:bidi w:val="0"/>
        <w:spacing w:line="400" w:lineRule="exact"/>
        <w:ind w:left="0" w:leftChars="0" w:right="0" w:rightChars="0" w:firstLine="480" w:firstLineChars="200"/>
        <w:jc w:val="center"/>
        <w:rPr>
          <w:rFonts w:ascii="宋体" w:hAnsi="宋体" w:cs="宋体"/>
          <w:color w:val="0D0D0D" w:themeColor="text1" w:themeTint="F2"/>
          <w:sz w:val="28"/>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 年    月    日</w:t>
      </w: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Style w:val="23"/>
        <w:rPr>
          <w:rFonts w:hint="eastAsia"/>
          <w:lang w:val="en-US" w:eastAsia="zh-CN"/>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right="0" w:rightChars="0"/>
        <w:jc w:val="both"/>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五</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、报价函格式</w:t>
      </w:r>
    </w:p>
    <w:p>
      <w:pPr>
        <w:pageBreakBefore w:val="0"/>
        <w:bidi w:val="0"/>
        <w:spacing w:line="400" w:lineRule="exact"/>
        <w:ind w:left="0" w:leftChars="0" w:right="0" w:rightChars="0" w:firstLine="420" w:firstLineChars="200"/>
        <w:rPr>
          <w:color w:val="0D0D0D" w:themeColor="text1" w:themeTint="F2"/>
          <w14:textFill>
            <w14:solidFill>
              <w14:schemeClr w14:val="tx1">
                <w14:lumMod w14:val="95000"/>
                <w14:lumOff w14:val="5000"/>
              </w14:schemeClr>
            </w14:solidFill>
          </w14:textFill>
        </w:rPr>
      </w:pPr>
    </w:p>
    <w:p>
      <w:pPr>
        <w:pStyle w:val="264"/>
        <w:pageBreakBefore w:val="0"/>
        <w:bidi w:val="0"/>
        <w:spacing w:before="0" w:after="0" w:line="400" w:lineRule="exact"/>
        <w:ind w:left="0" w:leftChars="0" w:right="0" w:rightChars="0" w:firstLine="480" w:firstLineChars="200"/>
        <w:rPr>
          <w:rFonts w:asciiTheme="majorEastAsia" w:hAnsiTheme="majorEastAsia" w:eastAsiaTheme="majorEastAsia"/>
          <w:color w:val="000000" w:themeColor="text1"/>
          <w:kern w:val="2"/>
          <w:szCs w:val="21"/>
          <w:u w:val="single"/>
          <w14:textFill>
            <w14:solidFill>
              <w14:schemeClr w14:val="tx1"/>
            </w14:solidFill>
          </w14:textFill>
        </w:rPr>
      </w:pPr>
      <w:r>
        <w:rPr>
          <w:rFonts w:hint="eastAsia" w:asciiTheme="majorEastAsia" w:hAnsiTheme="majorEastAsia" w:eastAsiaTheme="majorEastAsia"/>
          <w:color w:val="000000" w:themeColor="text1"/>
          <w:kern w:val="2"/>
          <w:szCs w:val="21"/>
          <w14:textFill>
            <w14:solidFill>
              <w14:schemeClr w14:val="tx1"/>
            </w14:solidFill>
          </w14:textFill>
        </w:rPr>
        <w:t>致：</w:t>
      </w:r>
      <w:r>
        <w:rPr>
          <w:rFonts w:hint="eastAsia" w:asciiTheme="majorEastAsia" w:hAnsiTheme="majorEastAsia" w:eastAsiaTheme="majorEastAsia"/>
          <w:color w:val="000000" w:themeColor="text1"/>
          <w:kern w:val="2"/>
          <w:szCs w:val="21"/>
          <w:u w:val="single"/>
          <w14:textFill>
            <w14:solidFill>
              <w14:schemeClr w14:val="tx1"/>
            </w14:solidFill>
          </w14:textFill>
        </w:rPr>
        <w:t xml:space="preserve"> （采购人）   </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r>
        <w:rPr>
          <w:rFonts w:hint="eastAsia" w:ascii="宋体" w:hAnsi="宋体"/>
          <w:color w:val="000000"/>
          <w:sz w:val="24"/>
        </w:rPr>
        <w:t>我们收到贵单位</w:t>
      </w:r>
      <w:r>
        <w:rPr>
          <w:rFonts w:hint="eastAsia" w:ascii="宋体" w:hAnsi="宋体"/>
          <w:color w:val="000000"/>
          <w:sz w:val="24"/>
          <w:u w:val="single"/>
        </w:rPr>
        <w:t xml:space="preserve"> 　　　　　　　　　　　</w:t>
      </w:r>
      <w:r>
        <w:rPr>
          <w:rFonts w:hint="eastAsia" w:ascii="宋体" w:hAnsi="宋体"/>
          <w:color w:val="000000"/>
          <w:sz w:val="24"/>
        </w:rPr>
        <w:t>项目招标文件，经仔细阅读和研究，我们决定参加投标。</w:t>
      </w:r>
    </w:p>
    <w:p>
      <w:pPr>
        <w:pageBreakBefore w:val="0"/>
        <w:bidi w:val="0"/>
        <w:spacing w:line="400" w:lineRule="exact"/>
        <w:ind w:left="0" w:leftChars="0" w:right="0" w:rightChars="0" w:firstLine="480" w:firstLineChars="200"/>
        <w:rPr>
          <w:rFonts w:asciiTheme="minorEastAsia" w:hAnsiTheme="minorEastAsia" w:eastAsiaTheme="minorEastAsia"/>
          <w:color w:val="262626" w:themeColor="text1" w:themeTint="D9"/>
          <w:sz w:val="24"/>
          <w:u w:val="single"/>
          <w14:textFill>
            <w14:solidFill>
              <w14:schemeClr w14:val="tx1">
                <w14:lumMod w14:val="85000"/>
                <w14:lumOff w14:val="15000"/>
              </w14:schemeClr>
            </w14:solidFill>
          </w14:textFill>
        </w:rPr>
      </w:pPr>
      <w:r>
        <w:rPr>
          <w:rFonts w:hint="eastAsia" w:asciiTheme="minorEastAsia" w:hAnsiTheme="minorEastAsia" w:eastAsiaTheme="minorEastAsia"/>
          <w:color w:val="262626" w:themeColor="text1" w:themeTint="D9"/>
          <w:sz w:val="24"/>
          <w14:textFill>
            <w14:solidFill>
              <w14:schemeClr w14:val="tx1">
                <w14:lumMod w14:val="85000"/>
                <w14:lumOff w14:val="15000"/>
              </w14:schemeClr>
            </w14:solidFill>
          </w14:textFill>
        </w:rPr>
        <w:t>1、根据已收到的：</w:t>
      </w:r>
      <w:r>
        <w:rPr>
          <w:rFonts w:hint="eastAsia" w:asciiTheme="minorEastAsia" w:hAnsiTheme="minorEastAsia" w:eastAsiaTheme="minorEastAsia"/>
          <w:color w:val="262626" w:themeColor="text1" w:themeTint="D9"/>
          <w:sz w:val="24"/>
          <w:u w:val="single"/>
          <w14:textFill>
            <w14:solidFill>
              <w14:schemeClr w14:val="tx1">
                <w14:lumMod w14:val="85000"/>
                <w14:lumOff w14:val="15000"/>
              </w14:schemeClr>
            </w14:solidFill>
          </w14:textFill>
        </w:rPr>
        <w:t>　　　　　　</w:t>
      </w:r>
      <w:r>
        <w:rPr>
          <w:rFonts w:hint="eastAsia" w:asciiTheme="minorEastAsia" w:hAnsiTheme="minorEastAsia" w:eastAsiaTheme="minorEastAsia"/>
          <w:color w:val="262626" w:themeColor="text1" w:themeTint="D9"/>
          <w:sz w:val="24"/>
          <w14:textFill>
            <w14:solidFill>
              <w14:schemeClr w14:val="tx1">
                <w14:lumMod w14:val="85000"/>
                <w14:lumOff w14:val="15000"/>
              </w14:schemeClr>
            </w14:solidFill>
          </w14:textFill>
        </w:rPr>
        <w:t>招标文件（含答疑），我单位经考察和研究招标文件后，愿意以</w:t>
      </w:r>
      <w:r>
        <w:rPr>
          <w:rFonts w:hint="eastAsia" w:hAnsi="宋体"/>
          <w:color w:val="262626" w:themeColor="text1" w:themeTint="D9"/>
          <w:sz w:val="24"/>
          <w:lang w:val="en-US" w:eastAsia="zh-CN"/>
          <w14:textFill>
            <w14:solidFill>
              <w14:schemeClr w14:val="tx1">
                <w14:lumMod w14:val="85000"/>
                <w14:lumOff w14:val="15000"/>
              </w14:schemeClr>
            </w14:solidFill>
          </w14:textFill>
        </w:rPr>
        <w:t>单价：</w:t>
      </w:r>
      <w:r>
        <w:rPr>
          <w:rFonts w:hint="eastAsia" w:hAnsi="宋体"/>
          <w:color w:val="262626" w:themeColor="text1" w:themeTint="D9"/>
          <w:sz w:val="24"/>
          <w:u w:val="single"/>
          <w:lang w:val="en-US" w:eastAsia="zh-CN"/>
          <w14:textFill>
            <w14:solidFill>
              <w14:schemeClr w14:val="tx1">
                <w14:lumMod w14:val="85000"/>
                <w14:lumOff w14:val="15000"/>
              </w14:schemeClr>
            </w14:solidFill>
          </w14:textFill>
        </w:rPr>
        <w:t xml:space="preserve">        </w:t>
      </w:r>
      <w:r>
        <w:rPr>
          <w:rFonts w:hint="eastAsia" w:hAnsi="宋体"/>
          <w:color w:val="262626" w:themeColor="text1" w:themeTint="D9"/>
          <w:sz w:val="24"/>
          <w:lang w:val="en-US" w:eastAsia="zh-CN"/>
          <w14:textFill>
            <w14:solidFill>
              <w14:schemeClr w14:val="tx1">
                <w14:lumMod w14:val="85000"/>
                <w14:lumOff w14:val="15000"/>
              </w14:schemeClr>
            </w14:solidFill>
          </w14:textFill>
        </w:rPr>
        <w:t xml:space="preserve"> </w:t>
      </w:r>
      <w:r>
        <w:rPr>
          <w:rFonts w:hint="eastAsia" w:hAnsi="宋体"/>
          <w:color w:val="262626" w:themeColor="text1" w:themeTint="D9"/>
          <w:sz w:val="24"/>
          <w14:textFill>
            <w14:solidFill>
              <w14:schemeClr w14:val="tx1">
                <w14:lumMod w14:val="85000"/>
                <w14:lumOff w14:val="15000"/>
              </w14:schemeClr>
            </w14:solidFill>
          </w14:textFill>
        </w:rPr>
        <w:t>元/</w:t>
      </w:r>
      <w:r>
        <w:rPr>
          <w:rFonts w:hint="eastAsia" w:hAnsi="宋体"/>
          <w:color w:val="262626" w:themeColor="text1" w:themeTint="D9"/>
          <w:sz w:val="24"/>
          <w:lang w:val="en-US" w:eastAsia="zh-CN"/>
          <w14:textFill>
            <w14:solidFill>
              <w14:schemeClr w14:val="tx1">
                <w14:lumMod w14:val="85000"/>
                <w14:lumOff w14:val="15000"/>
              </w14:schemeClr>
            </w14:solidFill>
          </w14:textFill>
        </w:rPr>
        <w:t>吨，数量暂按300吨计，合价</w:t>
      </w:r>
      <w:r>
        <w:rPr>
          <w:rFonts w:hint="eastAsia" w:hAnsi="宋体"/>
          <w:color w:val="262626" w:themeColor="text1" w:themeTint="D9"/>
          <w:sz w:val="24"/>
          <w:u w:val="single"/>
          <w:lang w:val="en-US" w:eastAsia="zh-CN"/>
          <w14:textFill>
            <w14:solidFill>
              <w14:schemeClr w14:val="tx1">
                <w14:lumMod w14:val="85000"/>
                <w14:lumOff w14:val="15000"/>
              </w14:schemeClr>
            </w14:solidFill>
          </w14:textFill>
        </w:rPr>
        <w:t xml:space="preserve">        </w:t>
      </w:r>
      <w:r>
        <w:rPr>
          <w:rFonts w:hint="eastAsia" w:hAnsi="宋体"/>
          <w:color w:val="262626" w:themeColor="text1" w:themeTint="D9"/>
          <w:sz w:val="24"/>
          <w:lang w:val="en-US" w:eastAsia="zh-CN"/>
          <w14:textFill>
            <w14:solidFill>
              <w14:schemeClr w14:val="tx1">
                <w14:lumMod w14:val="85000"/>
                <w14:lumOff w14:val="15000"/>
              </w14:schemeClr>
            </w14:solidFill>
          </w14:textFill>
        </w:rPr>
        <w:t xml:space="preserve"> </w:t>
      </w:r>
      <w:r>
        <w:rPr>
          <w:rFonts w:hint="eastAsia" w:hAnsi="宋体"/>
          <w:color w:val="262626" w:themeColor="text1" w:themeTint="D9"/>
          <w:sz w:val="24"/>
          <w14:textFill>
            <w14:solidFill>
              <w14:schemeClr w14:val="tx1">
                <w14:lumMod w14:val="85000"/>
                <w14:lumOff w14:val="15000"/>
              </w14:schemeClr>
            </w14:solidFill>
          </w14:textFill>
        </w:rPr>
        <w:t>元的投标报价</w:t>
      </w:r>
      <w:r>
        <w:rPr>
          <w:rFonts w:hint="eastAsia" w:asciiTheme="minorEastAsia" w:hAnsiTheme="minorEastAsia" w:eastAsiaTheme="minorEastAsia"/>
          <w:color w:val="262626" w:themeColor="text1" w:themeTint="D9"/>
          <w:sz w:val="24"/>
          <w14:textFill>
            <w14:solidFill>
              <w14:schemeClr w14:val="tx1">
                <w14:lumMod w14:val="85000"/>
                <w14:lumOff w14:val="15000"/>
              </w14:schemeClr>
            </w14:solidFill>
          </w14:textFill>
        </w:rPr>
        <w:t>，按招标文件的要求承接该项目。</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rPr>
        <w:t>2</w:t>
      </w:r>
      <w:r>
        <w:rPr>
          <w:rFonts w:hint="eastAsia" w:ascii="宋体" w:hAnsi="宋体"/>
          <w:color w:val="000000"/>
          <w:sz w:val="24"/>
        </w:rPr>
        <w:t>、如果我们的投标书被接受，我们将严格履行招标文件中规定的每一项要求，按期、按质、</w:t>
      </w:r>
      <w:r>
        <w:rPr>
          <w:rFonts w:hint="eastAsia" w:ascii="宋体" w:hAnsi="宋体"/>
          <w:color w:val="000000"/>
          <w:sz w:val="24"/>
          <w:highlight w:val="none"/>
        </w:rPr>
        <w:t>按量履行合同的义务。</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、我们同意按招标文件中的规定，本投标书的有效期限为开标后</w:t>
      </w:r>
      <w:r>
        <w:rPr>
          <w:rFonts w:hint="eastAsia" w:ascii="宋体" w:hAnsi="宋体"/>
          <w:color w:val="000000"/>
          <w:sz w:val="24"/>
          <w:highlight w:val="none"/>
          <w:u w:val="single"/>
        </w:rPr>
        <w:t xml:space="preserve"> 60 </w:t>
      </w:r>
      <w:r>
        <w:rPr>
          <w:rFonts w:hint="eastAsia" w:ascii="宋体" w:hAnsi="宋体"/>
          <w:color w:val="000000"/>
          <w:sz w:val="24"/>
          <w:highlight w:val="none"/>
        </w:rPr>
        <w:t>天。</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、我们愿意提供招标方在招标文件中要求的所有资料。</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、我们认为你们有权决定中标者，还认为你们有权接受或拒绝所有的投标者。</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w:t>
      </w:r>
      <w:r>
        <w:rPr>
          <w:color w:val="000000"/>
          <w:sz w:val="24"/>
          <w:szCs w:val="24"/>
          <w:highlight w:val="none"/>
        </w:rPr>
        <w:t>我们完全理解贵方不一定要接受最低报价的投标或收到的任何投标。</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、我们承诺该项投标在开标后的全过程中保持有效，不作任何更改和变动。</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8</w:t>
      </w:r>
      <w:r>
        <w:rPr>
          <w:rFonts w:hint="eastAsia" w:ascii="宋体" w:hAnsi="宋体"/>
          <w:color w:val="000000"/>
          <w:sz w:val="24"/>
          <w:highlight w:val="none"/>
        </w:rPr>
        <w:t>、我们愿意按招标文件的规定交纳</w:t>
      </w:r>
      <w:r>
        <w:rPr>
          <w:rFonts w:hint="eastAsia" w:ascii="宋体" w:hAnsi="宋体"/>
          <w:color w:val="000000"/>
          <w:sz w:val="24"/>
          <w:highlight w:val="none"/>
          <w:u w:val="single"/>
        </w:rPr>
        <w:t xml:space="preserve"> / </w:t>
      </w:r>
      <w:r>
        <w:rPr>
          <w:rFonts w:hint="eastAsia" w:ascii="宋体" w:hAnsi="宋体"/>
          <w:color w:val="000000"/>
          <w:sz w:val="24"/>
          <w:highlight w:val="none"/>
        </w:rPr>
        <w:t>元的投标保证金；</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9、如果我们中标，我们愿意在签订合同时按</w:t>
      </w:r>
      <w:r>
        <w:rPr>
          <w:rFonts w:hint="eastAsia" w:ascii="宋体" w:hAnsi="宋体"/>
          <w:color w:val="000000"/>
          <w:sz w:val="24"/>
          <w:highlight w:val="none"/>
          <w:u w:val="single"/>
        </w:rPr>
        <w:t>合同金额的10</w:t>
      </w:r>
      <w:r>
        <w:rPr>
          <w:rFonts w:ascii="宋体" w:hAnsi="宋体"/>
          <w:color w:val="000000"/>
          <w:sz w:val="24"/>
          <w:highlight w:val="none"/>
          <w:u w:val="single"/>
        </w:rPr>
        <w:t>%</w:t>
      </w:r>
      <w:r>
        <w:rPr>
          <w:rFonts w:hint="eastAsia" w:ascii="宋体" w:hAnsi="宋体"/>
          <w:color w:val="000000"/>
          <w:sz w:val="24"/>
          <w:highlight w:val="none"/>
        </w:rPr>
        <w:t>支付履约保证金；</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0、综合说明：</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）伴随服务及配合措施；</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）要求甲方提供的配合；</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）对招标文件有不同意见的偏离说明；</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4</w:t>
      </w:r>
      <w:r>
        <w:rPr>
          <w:rFonts w:hint="eastAsia" w:ascii="宋体" w:hAnsi="宋体"/>
          <w:color w:val="000000"/>
          <w:sz w:val="24"/>
          <w:highlight w:val="none"/>
        </w:rPr>
        <w:t>）其它说明。</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所有有关标书的函电，请按下列地址联系：</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单位：                         联系人：</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地址：                         邮政编码：</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r>
        <w:rPr>
          <w:rFonts w:hint="eastAsia" w:ascii="宋体" w:hAnsi="宋体"/>
          <w:color w:val="000000"/>
          <w:sz w:val="24"/>
        </w:rPr>
        <w:t>联系电话：                     传真：</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r>
        <w:rPr>
          <w:rFonts w:hint="eastAsia" w:ascii="宋体" w:hAnsi="宋体"/>
          <w:color w:val="000000"/>
          <w:sz w:val="24"/>
        </w:rPr>
        <w:t>投标单位：（单位盖章）</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r>
        <w:rPr>
          <w:rFonts w:hint="eastAsia" w:ascii="宋体" w:hAnsi="宋体"/>
          <w:color w:val="000000"/>
          <w:sz w:val="24"/>
        </w:rPr>
        <w:t>法定代表人或授权代理人（签字或盖章）：</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p>
    <w:p>
      <w:pPr>
        <w:pageBreakBefore w:val="0"/>
        <w:bidi w:val="0"/>
        <w:adjustRightInd w:val="0"/>
        <w:spacing w:line="400" w:lineRule="exact"/>
        <w:ind w:left="0" w:leftChars="0" w:right="0" w:rightChars="0" w:firstLine="480" w:firstLineChars="200"/>
        <w:textAlignment w:val="baseline"/>
        <w:rPr>
          <w:rFonts w:ascii="宋体" w:hAnsi="宋体"/>
          <w:color w:val="0D0D0D" w:themeColor="text1" w:themeTint="F2"/>
          <w:sz w:val="32"/>
          <w:szCs w:val="32"/>
          <w14:textFill>
            <w14:solidFill>
              <w14:schemeClr w14:val="tx1">
                <w14:lumMod w14:val="95000"/>
                <w14:lumOff w14:val="5000"/>
              </w14:schemeClr>
            </w14:solidFill>
          </w14:textFill>
        </w:rPr>
      </w:pPr>
      <w:r>
        <w:rPr>
          <w:rFonts w:hint="eastAsia" w:ascii="宋体" w:hAnsi="宋体"/>
          <w:color w:val="000000"/>
          <w:sz w:val="24"/>
        </w:rPr>
        <w:t xml:space="preserve">年 月 </w:t>
      </w:r>
      <w:r>
        <w:rPr>
          <w:rFonts w:hint="eastAsia" w:ascii="宋体" w:hAnsi="宋体"/>
          <w:color w:val="000000"/>
          <w:sz w:val="24"/>
          <w:lang w:val="en-US" w:eastAsia="zh-CN"/>
        </w:rPr>
        <w:t>日</w:t>
      </w:r>
      <w:bookmarkEnd w:id="146"/>
      <w:bookmarkEnd w:id="147"/>
      <w:bookmarkEnd w:id="148"/>
      <w:bookmarkEnd w:id="149"/>
      <w:bookmarkEnd w:id="150"/>
    </w:p>
    <w:sectPr>
      <w:footerReference r:id="rId7" w:type="first"/>
      <w:footerReference r:id="rId6" w:type="default"/>
      <w:pgSz w:w="11906" w:h="16838"/>
      <w:pgMar w:top="1440" w:right="1080" w:bottom="1440" w:left="1080" w:header="851" w:footer="907" w:gutter="0"/>
      <w:pgNumType w:fmt="decimal" w:start="2"/>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useo Sans For Dell">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r>
      <w:fldChar w:fldCharType="begin"/>
    </w:r>
    <w:r>
      <w:rPr>
        <w:rStyle w:val="59"/>
      </w:rPr>
      <w:instrText xml:space="preserve">PAGE  </w:instrText>
    </w:r>
    <w:r>
      <w:fldChar w:fldCharType="separate"/>
    </w:r>
    <w:r>
      <w:rPr>
        <w:rStyle w:val="59"/>
      </w:rPr>
      <w:t>1</w: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１</w:t>
                    </w:r>
                    <w:r>
                      <w:fldChar w:fldCharType="end"/>
                    </w:r>
                  </w:p>
                </w:txbxContent>
              </v:textbox>
            </v:shape>
          </w:pict>
        </mc:Fallback>
      </mc:AlternateContent>
    </w:r>
  </w:p>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2C1D7"/>
    <w:multiLevelType w:val="singleLevel"/>
    <w:tmpl w:val="A652C1D7"/>
    <w:lvl w:ilvl="0" w:tentative="0">
      <w:start w:val="5"/>
      <w:numFmt w:val="chineseCounting"/>
      <w:suff w:val="space"/>
      <w:lvlText w:val="第%1章"/>
      <w:lvlJc w:val="left"/>
      <w:rPr>
        <w:rFonts w:hint="eastAsia"/>
      </w:rPr>
    </w:lvl>
  </w:abstractNum>
  <w:abstractNum w:abstractNumId="1">
    <w:nsid w:val="06784D56"/>
    <w:multiLevelType w:val="singleLevel"/>
    <w:tmpl w:val="06784D56"/>
    <w:lvl w:ilvl="0" w:tentative="0">
      <w:start w:val="1"/>
      <w:numFmt w:val="upperLetter"/>
      <w:pStyle w:val="243"/>
      <w:lvlText w:val="附录%1."/>
      <w:lvlJc w:val="left"/>
      <w:pPr>
        <w:tabs>
          <w:tab w:val="left" w:pos="907"/>
        </w:tabs>
        <w:ind w:left="907" w:hanging="907"/>
      </w:pPr>
      <w:rPr>
        <w:rFonts w:hint="eastAsia"/>
      </w:rPr>
    </w:lvl>
  </w:abstractNum>
  <w:abstractNum w:abstractNumId="2">
    <w:nsid w:val="174453F0"/>
    <w:multiLevelType w:val="multilevel"/>
    <w:tmpl w:val="174453F0"/>
    <w:lvl w:ilvl="0" w:tentative="0">
      <w:start w:val="1"/>
      <w:numFmt w:val="japaneseCounting"/>
      <w:lvlText w:val="%1、"/>
      <w:lvlJc w:val="left"/>
      <w:pPr>
        <w:tabs>
          <w:tab w:val="left" w:pos="720"/>
        </w:tabs>
        <w:ind w:left="720" w:hanging="720"/>
      </w:pPr>
      <w:rPr>
        <w:rFonts w:hint="eastAsia"/>
      </w:rPr>
    </w:lvl>
    <w:lvl w:ilvl="1" w:tentative="0">
      <w:start w:val="1"/>
      <w:numFmt w:val="lowerLetter"/>
      <w:pStyle w:val="261"/>
      <w:lvlText w:val="%2)"/>
      <w:lvlJc w:val="left"/>
      <w:pPr>
        <w:tabs>
          <w:tab w:val="left" w:pos="1260"/>
        </w:tabs>
        <w:ind w:left="1260" w:hanging="420"/>
      </w:pPr>
    </w:lvl>
    <w:lvl w:ilvl="2" w:tentative="0">
      <w:start w:val="1"/>
      <w:numFmt w:val="lowerRoman"/>
      <w:pStyle w:val="260"/>
      <w:lvlText w:val="%3."/>
      <w:lvlJc w:val="right"/>
      <w:pPr>
        <w:tabs>
          <w:tab w:val="left" w:pos="1680"/>
        </w:tabs>
        <w:ind w:left="1680" w:hanging="420"/>
      </w:pPr>
    </w:lvl>
    <w:lvl w:ilvl="3" w:tentative="0">
      <w:start w:val="1"/>
      <w:numFmt w:val="decimal"/>
      <w:pStyle w:val="259"/>
      <w:lvlText w:val="%4."/>
      <w:lvlJc w:val="left"/>
      <w:pPr>
        <w:tabs>
          <w:tab w:val="left" w:pos="2100"/>
        </w:tabs>
        <w:ind w:left="2100" w:hanging="420"/>
      </w:pPr>
    </w:lvl>
    <w:lvl w:ilvl="4" w:tentative="0">
      <w:start w:val="1"/>
      <w:numFmt w:val="lowerLetter"/>
      <w:pStyle w:val="258"/>
      <w:lvlText w:val="%5)"/>
      <w:lvlJc w:val="left"/>
      <w:pPr>
        <w:tabs>
          <w:tab w:val="left" w:pos="2520"/>
        </w:tabs>
        <w:ind w:left="2520" w:hanging="420"/>
      </w:pPr>
    </w:lvl>
    <w:lvl w:ilvl="5" w:tentative="0">
      <w:start w:val="1"/>
      <w:numFmt w:val="lowerRoman"/>
      <w:pStyle w:val="257"/>
      <w:lvlText w:val="%6."/>
      <w:lvlJc w:val="right"/>
      <w:pPr>
        <w:tabs>
          <w:tab w:val="left" w:pos="2940"/>
        </w:tabs>
        <w:ind w:left="2940" w:hanging="420"/>
      </w:pPr>
    </w:lvl>
    <w:lvl w:ilvl="6" w:tentative="0">
      <w:start w:val="1"/>
      <w:numFmt w:val="decimal"/>
      <w:pStyle w:val="256"/>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0E20D84"/>
    <w:multiLevelType w:val="singleLevel"/>
    <w:tmpl w:val="30E20D84"/>
    <w:lvl w:ilvl="0" w:tentative="0">
      <w:start w:val="1"/>
      <w:numFmt w:val="decimal"/>
      <w:pStyle w:val="346"/>
      <w:lvlText w:val="(%1)"/>
      <w:lvlJc w:val="left"/>
      <w:pPr>
        <w:tabs>
          <w:tab w:val="left" w:pos="960"/>
        </w:tabs>
        <w:ind w:left="960" w:hanging="465"/>
      </w:pPr>
      <w:rPr>
        <w:rFonts w:hint="default"/>
      </w:rPr>
    </w:lvl>
  </w:abstractNum>
  <w:abstractNum w:abstractNumId="4">
    <w:nsid w:val="420C153B"/>
    <w:multiLevelType w:val="multilevel"/>
    <w:tmpl w:val="420C153B"/>
    <w:lvl w:ilvl="0" w:tentative="0">
      <w:start w:val="1"/>
      <w:numFmt w:val="decimal"/>
      <w:pStyle w:val="17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C0C1BFB"/>
    <w:multiLevelType w:val="singleLevel"/>
    <w:tmpl w:val="4C0C1BFB"/>
    <w:lvl w:ilvl="0" w:tentative="0">
      <w:start w:val="1"/>
      <w:numFmt w:val="decimal"/>
      <w:pStyle w:val="29"/>
      <w:lvlText w:val="（%1）"/>
      <w:lvlJc w:val="left"/>
      <w:pPr>
        <w:tabs>
          <w:tab w:val="left" w:pos="810"/>
        </w:tabs>
        <w:ind w:left="810" w:hanging="810"/>
      </w:pPr>
      <w:rPr>
        <w:rFonts w:hint="eastAsia"/>
      </w:rPr>
    </w:lvl>
  </w:abstractNum>
  <w:abstractNum w:abstractNumId="6">
    <w:nsid w:val="52584875"/>
    <w:multiLevelType w:val="multilevel"/>
    <w:tmpl w:val="52584875"/>
    <w:lvl w:ilvl="0" w:tentative="0">
      <w:start w:val="1"/>
      <w:numFmt w:val="japaneseCounting"/>
      <w:pStyle w:val="124"/>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5ECAF6"/>
    <w:multiLevelType w:val="singleLevel"/>
    <w:tmpl w:val="545ECAF6"/>
    <w:lvl w:ilvl="0" w:tentative="0">
      <w:start w:val="11"/>
      <w:numFmt w:val="decimal"/>
      <w:suff w:val="nothing"/>
      <w:lvlText w:val="%1、"/>
      <w:lvlJc w:val="left"/>
    </w:lvl>
  </w:abstractNum>
  <w:abstractNum w:abstractNumId="8">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436"/>
      <w:suff w:val="nothing"/>
      <w:lvlText w:val=""/>
      <w:lvlJc w:val="left"/>
      <w:pPr>
        <w:ind w:left="0" w:firstLine="0"/>
      </w:pPr>
      <w:rPr>
        <w:rFonts w:hint="eastAsia"/>
      </w:rPr>
    </w:lvl>
    <w:lvl w:ilvl="8" w:tentative="0">
      <w:start w:val="1"/>
      <w:numFmt w:val="none"/>
      <w:pStyle w:val="296"/>
      <w:suff w:val="nothing"/>
      <w:lvlText w:val=""/>
      <w:lvlJc w:val="left"/>
      <w:pPr>
        <w:ind w:left="0" w:firstLine="0"/>
      </w:pPr>
      <w:rPr>
        <w:rFonts w:hint="eastAsia"/>
      </w:rPr>
    </w:lvl>
  </w:abstractNum>
  <w:abstractNum w:abstractNumId="9">
    <w:nsid w:val="622E4B26"/>
    <w:multiLevelType w:val="multilevel"/>
    <w:tmpl w:val="622E4B26"/>
    <w:lvl w:ilvl="0" w:tentative="0">
      <w:start w:val="1"/>
      <w:numFmt w:val="japaneseCounting"/>
      <w:pStyle w:val="14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2F9ACBB"/>
    <w:multiLevelType w:val="singleLevel"/>
    <w:tmpl w:val="62F9ACBB"/>
    <w:lvl w:ilvl="0" w:tentative="0">
      <w:start w:val="4"/>
      <w:numFmt w:val="chineseCounting"/>
      <w:suff w:val="nothing"/>
      <w:lvlText w:val="%1、"/>
      <w:lvlJc w:val="left"/>
      <w:rPr>
        <w:rFonts w:hint="eastAsia"/>
      </w:rPr>
    </w:lvl>
  </w:abstractNum>
  <w:abstractNum w:abstractNumId="11">
    <w:nsid w:val="6FBA05F3"/>
    <w:multiLevelType w:val="singleLevel"/>
    <w:tmpl w:val="6FBA05F3"/>
    <w:lvl w:ilvl="0" w:tentative="0">
      <w:start w:val="1"/>
      <w:numFmt w:val="japaneseCounting"/>
      <w:pStyle w:val="318"/>
      <w:lvlText w:val="第%1章"/>
      <w:lvlJc w:val="left"/>
      <w:pPr>
        <w:tabs>
          <w:tab w:val="left" w:pos="1440"/>
        </w:tabs>
        <w:ind w:left="1440" w:hanging="1440"/>
      </w:pPr>
      <w:rPr>
        <w:rFonts w:hint="eastAsia" w:ascii="黑体" w:eastAsia="黑体"/>
        <w:b w:val="0"/>
        <w:sz w:val="36"/>
      </w:rPr>
    </w:lvl>
  </w:abstractNum>
  <w:abstractNum w:abstractNumId="12">
    <w:nsid w:val="7CB57642"/>
    <w:multiLevelType w:val="singleLevel"/>
    <w:tmpl w:val="7CB57642"/>
    <w:lvl w:ilvl="0" w:tentative="0">
      <w:start w:val="1"/>
      <w:numFmt w:val="decimal"/>
      <w:pStyle w:val="95"/>
      <w:lvlText w:val="%1、"/>
      <w:lvlJc w:val="left"/>
      <w:pPr>
        <w:tabs>
          <w:tab w:val="left" w:pos="1050"/>
        </w:tabs>
        <w:ind w:left="1050" w:hanging="720"/>
      </w:pPr>
      <w:rPr>
        <w:rFonts w:ascii="Times New Roman" w:hAnsi="Times New Roman" w:eastAsia="Times New Roman" w:cs="Times New Roman"/>
      </w:rPr>
    </w:lvl>
  </w:abstractNum>
  <w:abstractNum w:abstractNumId="13">
    <w:nsid w:val="7E636B3A"/>
    <w:multiLevelType w:val="multilevel"/>
    <w:tmpl w:val="7E636B3A"/>
    <w:lvl w:ilvl="0" w:tentative="0">
      <w:start w:val="1"/>
      <w:numFmt w:val="decimal"/>
      <w:lvlText w:val="(%1)"/>
      <w:lvlJc w:val="left"/>
      <w:pPr>
        <w:tabs>
          <w:tab w:val="left" w:pos="1035"/>
        </w:tabs>
        <w:ind w:left="1035" w:hanging="555"/>
      </w:pPr>
      <w:rPr>
        <w:rFonts w:hint="default"/>
      </w:rPr>
    </w:lvl>
    <w:lvl w:ilvl="1" w:tentative="0">
      <w:start w:val="1"/>
      <w:numFmt w:val="lowerLetter"/>
      <w:lvlText w:val="%2)"/>
      <w:lvlJc w:val="left"/>
      <w:pPr>
        <w:tabs>
          <w:tab w:val="left" w:pos="1320"/>
        </w:tabs>
        <w:ind w:left="1320" w:hanging="420"/>
      </w:pPr>
    </w:lvl>
    <w:lvl w:ilvl="2" w:tentative="0">
      <w:start w:val="1"/>
      <w:numFmt w:val="lowerRoman"/>
      <w:pStyle w:val="497"/>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12"/>
  </w:num>
  <w:num w:numId="3">
    <w:abstractNumId w:val="6"/>
  </w:num>
  <w:num w:numId="4">
    <w:abstractNumId w:val="9"/>
  </w:num>
  <w:num w:numId="5">
    <w:abstractNumId w:val="4"/>
  </w:num>
  <w:num w:numId="6">
    <w:abstractNumId w:val="1"/>
  </w:num>
  <w:num w:numId="7">
    <w:abstractNumId w:val="2"/>
  </w:num>
  <w:num w:numId="8">
    <w:abstractNumId w:val="8"/>
  </w:num>
  <w:num w:numId="9">
    <w:abstractNumId w:val="11"/>
  </w:num>
  <w:num w:numId="10">
    <w:abstractNumId w:val="3"/>
  </w:num>
  <w:num w:numId="11">
    <w:abstractNumId w:val="13"/>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E0YWRjNGIwZGQ3NDFkNWM2NDRkZWJkNGEzYjkifQ=="/>
  </w:docVars>
  <w:rsids>
    <w:rsidRoot w:val="002F530D"/>
    <w:rsid w:val="0000113A"/>
    <w:rsid w:val="00001740"/>
    <w:rsid w:val="00001E1D"/>
    <w:rsid w:val="000041F1"/>
    <w:rsid w:val="0000588E"/>
    <w:rsid w:val="000066DA"/>
    <w:rsid w:val="00006FA7"/>
    <w:rsid w:val="0000745D"/>
    <w:rsid w:val="0001028A"/>
    <w:rsid w:val="0001148A"/>
    <w:rsid w:val="00011A8C"/>
    <w:rsid w:val="00011B94"/>
    <w:rsid w:val="000128B1"/>
    <w:rsid w:val="000153AD"/>
    <w:rsid w:val="000156AF"/>
    <w:rsid w:val="00017027"/>
    <w:rsid w:val="000229E0"/>
    <w:rsid w:val="0003098F"/>
    <w:rsid w:val="00036731"/>
    <w:rsid w:val="000408C6"/>
    <w:rsid w:val="000423A9"/>
    <w:rsid w:val="00045BD2"/>
    <w:rsid w:val="00045DA9"/>
    <w:rsid w:val="0004616A"/>
    <w:rsid w:val="00050729"/>
    <w:rsid w:val="00050CF4"/>
    <w:rsid w:val="00052E15"/>
    <w:rsid w:val="00053EFF"/>
    <w:rsid w:val="000575F2"/>
    <w:rsid w:val="00057FBA"/>
    <w:rsid w:val="0006062C"/>
    <w:rsid w:val="00064B1A"/>
    <w:rsid w:val="00070366"/>
    <w:rsid w:val="000714E4"/>
    <w:rsid w:val="00071671"/>
    <w:rsid w:val="00072E53"/>
    <w:rsid w:val="00074D09"/>
    <w:rsid w:val="00074D41"/>
    <w:rsid w:val="00076444"/>
    <w:rsid w:val="00077C10"/>
    <w:rsid w:val="00080F27"/>
    <w:rsid w:val="00082614"/>
    <w:rsid w:val="00083AB1"/>
    <w:rsid w:val="00085217"/>
    <w:rsid w:val="00086416"/>
    <w:rsid w:val="00087E83"/>
    <w:rsid w:val="00090ACB"/>
    <w:rsid w:val="000941FA"/>
    <w:rsid w:val="00094CED"/>
    <w:rsid w:val="00095ED1"/>
    <w:rsid w:val="0009607F"/>
    <w:rsid w:val="00096BE3"/>
    <w:rsid w:val="000974C0"/>
    <w:rsid w:val="000A003B"/>
    <w:rsid w:val="000A104D"/>
    <w:rsid w:val="000A5EF1"/>
    <w:rsid w:val="000A5FB6"/>
    <w:rsid w:val="000A6192"/>
    <w:rsid w:val="000A6CAA"/>
    <w:rsid w:val="000B17CB"/>
    <w:rsid w:val="000B1B8F"/>
    <w:rsid w:val="000B38DE"/>
    <w:rsid w:val="000B51C1"/>
    <w:rsid w:val="000B7115"/>
    <w:rsid w:val="000B7A96"/>
    <w:rsid w:val="000C0E35"/>
    <w:rsid w:val="000C24BB"/>
    <w:rsid w:val="000C3268"/>
    <w:rsid w:val="000C35BD"/>
    <w:rsid w:val="000C3A20"/>
    <w:rsid w:val="000C45F3"/>
    <w:rsid w:val="000D0528"/>
    <w:rsid w:val="000D0AD6"/>
    <w:rsid w:val="000D0F3D"/>
    <w:rsid w:val="000D1741"/>
    <w:rsid w:val="000D1F91"/>
    <w:rsid w:val="000D3C10"/>
    <w:rsid w:val="000D3C7E"/>
    <w:rsid w:val="000D57F6"/>
    <w:rsid w:val="000D79CA"/>
    <w:rsid w:val="000E384E"/>
    <w:rsid w:val="000E6998"/>
    <w:rsid w:val="000E6F5C"/>
    <w:rsid w:val="000F1143"/>
    <w:rsid w:val="000F33CC"/>
    <w:rsid w:val="000F3AD2"/>
    <w:rsid w:val="000F3B4A"/>
    <w:rsid w:val="000F46D3"/>
    <w:rsid w:val="000F4F18"/>
    <w:rsid w:val="000F5B15"/>
    <w:rsid w:val="000F6098"/>
    <w:rsid w:val="000F659F"/>
    <w:rsid w:val="000F7017"/>
    <w:rsid w:val="001008CE"/>
    <w:rsid w:val="00100A18"/>
    <w:rsid w:val="001017E2"/>
    <w:rsid w:val="00101DC8"/>
    <w:rsid w:val="001023A8"/>
    <w:rsid w:val="00102F34"/>
    <w:rsid w:val="00102F3B"/>
    <w:rsid w:val="001064B7"/>
    <w:rsid w:val="0011107A"/>
    <w:rsid w:val="001116B1"/>
    <w:rsid w:val="0011469F"/>
    <w:rsid w:val="00114C3E"/>
    <w:rsid w:val="00116CEF"/>
    <w:rsid w:val="0011738F"/>
    <w:rsid w:val="00117FDB"/>
    <w:rsid w:val="00122B3B"/>
    <w:rsid w:val="00124040"/>
    <w:rsid w:val="0012714D"/>
    <w:rsid w:val="00131B74"/>
    <w:rsid w:val="00131BB9"/>
    <w:rsid w:val="00132A2F"/>
    <w:rsid w:val="0013372B"/>
    <w:rsid w:val="00134C4A"/>
    <w:rsid w:val="00137A77"/>
    <w:rsid w:val="0014033D"/>
    <w:rsid w:val="001412CA"/>
    <w:rsid w:val="001441B2"/>
    <w:rsid w:val="00144470"/>
    <w:rsid w:val="0014459B"/>
    <w:rsid w:val="00147545"/>
    <w:rsid w:val="001509E5"/>
    <w:rsid w:val="0015155D"/>
    <w:rsid w:val="001517F6"/>
    <w:rsid w:val="00153140"/>
    <w:rsid w:val="00153B5D"/>
    <w:rsid w:val="00155555"/>
    <w:rsid w:val="00155793"/>
    <w:rsid w:val="0015666C"/>
    <w:rsid w:val="001568BA"/>
    <w:rsid w:val="00157DEF"/>
    <w:rsid w:val="00157E07"/>
    <w:rsid w:val="00160BD8"/>
    <w:rsid w:val="0016248D"/>
    <w:rsid w:val="00162C0A"/>
    <w:rsid w:val="001644F6"/>
    <w:rsid w:val="0016561D"/>
    <w:rsid w:val="0016563C"/>
    <w:rsid w:val="00165BB8"/>
    <w:rsid w:val="0017272F"/>
    <w:rsid w:val="0017317D"/>
    <w:rsid w:val="00173D26"/>
    <w:rsid w:val="001765C2"/>
    <w:rsid w:val="00183010"/>
    <w:rsid w:val="00185988"/>
    <w:rsid w:val="00185D00"/>
    <w:rsid w:val="00186576"/>
    <w:rsid w:val="00187BA3"/>
    <w:rsid w:val="00187E9B"/>
    <w:rsid w:val="001917F7"/>
    <w:rsid w:val="00191C71"/>
    <w:rsid w:val="00195D60"/>
    <w:rsid w:val="001A138C"/>
    <w:rsid w:val="001A1953"/>
    <w:rsid w:val="001A31AB"/>
    <w:rsid w:val="001A377F"/>
    <w:rsid w:val="001A47A3"/>
    <w:rsid w:val="001A55C2"/>
    <w:rsid w:val="001A5B28"/>
    <w:rsid w:val="001A6755"/>
    <w:rsid w:val="001A6E77"/>
    <w:rsid w:val="001B0A1B"/>
    <w:rsid w:val="001B1578"/>
    <w:rsid w:val="001B27EC"/>
    <w:rsid w:val="001B402B"/>
    <w:rsid w:val="001B40E1"/>
    <w:rsid w:val="001B5B4A"/>
    <w:rsid w:val="001C4FCC"/>
    <w:rsid w:val="001C6D0E"/>
    <w:rsid w:val="001C7200"/>
    <w:rsid w:val="001C74D6"/>
    <w:rsid w:val="001D1456"/>
    <w:rsid w:val="001D2832"/>
    <w:rsid w:val="001D4701"/>
    <w:rsid w:val="001D47AB"/>
    <w:rsid w:val="001E3852"/>
    <w:rsid w:val="001E4F9E"/>
    <w:rsid w:val="001E5E24"/>
    <w:rsid w:val="001E5F4E"/>
    <w:rsid w:val="001E7319"/>
    <w:rsid w:val="001F18F9"/>
    <w:rsid w:val="001F1C52"/>
    <w:rsid w:val="001F20AE"/>
    <w:rsid w:val="001F2EF5"/>
    <w:rsid w:val="001F3AF7"/>
    <w:rsid w:val="001F3B29"/>
    <w:rsid w:val="001F4C10"/>
    <w:rsid w:val="001F4C1B"/>
    <w:rsid w:val="001F6022"/>
    <w:rsid w:val="001F69AA"/>
    <w:rsid w:val="00201070"/>
    <w:rsid w:val="0020268C"/>
    <w:rsid w:val="0021067F"/>
    <w:rsid w:val="0021510C"/>
    <w:rsid w:val="00216EFA"/>
    <w:rsid w:val="00216F15"/>
    <w:rsid w:val="00220426"/>
    <w:rsid w:val="00220462"/>
    <w:rsid w:val="00220F8F"/>
    <w:rsid w:val="00222B61"/>
    <w:rsid w:val="002230BC"/>
    <w:rsid w:val="00225AE5"/>
    <w:rsid w:val="00236CC5"/>
    <w:rsid w:val="00243126"/>
    <w:rsid w:val="00243A34"/>
    <w:rsid w:val="002443BF"/>
    <w:rsid w:val="00246D94"/>
    <w:rsid w:val="00247CE0"/>
    <w:rsid w:val="002510BC"/>
    <w:rsid w:val="00251B51"/>
    <w:rsid w:val="0025277C"/>
    <w:rsid w:val="00252D3C"/>
    <w:rsid w:val="00252D6D"/>
    <w:rsid w:val="0025345F"/>
    <w:rsid w:val="00254DEF"/>
    <w:rsid w:val="0025670E"/>
    <w:rsid w:val="00260872"/>
    <w:rsid w:val="002629BF"/>
    <w:rsid w:val="00264765"/>
    <w:rsid w:val="002652DE"/>
    <w:rsid w:val="00266715"/>
    <w:rsid w:val="00266903"/>
    <w:rsid w:val="002710B8"/>
    <w:rsid w:val="00273034"/>
    <w:rsid w:val="00274632"/>
    <w:rsid w:val="002754B8"/>
    <w:rsid w:val="002756E7"/>
    <w:rsid w:val="00275849"/>
    <w:rsid w:val="00275B22"/>
    <w:rsid w:val="00277E68"/>
    <w:rsid w:val="00280168"/>
    <w:rsid w:val="002812D8"/>
    <w:rsid w:val="0028371E"/>
    <w:rsid w:val="00284880"/>
    <w:rsid w:val="002864A8"/>
    <w:rsid w:val="00290335"/>
    <w:rsid w:val="0029163A"/>
    <w:rsid w:val="00291706"/>
    <w:rsid w:val="00293D1F"/>
    <w:rsid w:val="002943E4"/>
    <w:rsid w:val="00295354"/>
    <w:rsid w:val="00297534"/>
    <w:rsid w:val="002A0188"/>
    <w:rsid w:val="002A08D5"/>
    <w:rsid w:val="002A2378"/>
    <w:rsid w:val="002A34A7"/>
    <w:rsid w:val="002A36B4"/>
    <w:rsid w:val="002A58CB"/>
    <w:rsid w:val="002A5E53"/>
    <w:rsid w:val="002A6967"/>
    <w:rsid w:val="002A6E92"/>
    <w:rsid w:val="002A6FE6"/>
    <w:rsid w:val="002A7808"/>
    <w:rsid w:val="002B078F"/>
    <w:rsid w:val="002B07E5"/>
    <w:rsid w:val="002B09F3"/>
    <w:rsid w:val="002B14B3"/>
    <w:rsid w:val="002B2142"/>
    <w:rsid w:val="002B4B19"/>
    <w:rsid w:val="002B51F1"/>
    <w:rsid w:val="002B550E"/>
    <w:rsid w:val="002B6FE2"/>
    <w:rsid w:val="002C0EA9"/>
    <w:rsid w:val="002C31AD"/>
    <w:rsid w:val="002C3579"/>
    <w:rsid w:val="002C4D50"/>
    <w:rsid w:val="002D1A6E"/>
    <w:rsid w:val="002D2D46"/>
    <w:rsid w:val="002D3A38"/>
    <w:rsid w:val="002D3D43"/>
    <w:rsid w:val="002D5CB2"/>
    <w:rsid w:val="002D5FF3"/>
    <w:rsid w:val="002D6035"/>
    <w:rsid w:val="002D7024"/>
    <w:rsid w:val="002E1D88"/>
    <w:rsid w:val="002E1ED7"/>
    <w:rsid w:val="002E2B78"/>
    <w:rsid w:val="002E3E8E"/>
    <w:rsid w:val="002E4304"/>
    <w:rsid w:val="002E584A"/>
    <w:rsid w:val="002E5B2C"/>
    <w:rsid w:val="002E7272"/>
    <w:rsid w:val="002E7CC4"/>
    <w:rsid w:val="002F32FA"/>
    <w:rsid w:val="002F47C4"/>
    <w:rsid w:val="002F5154"/>
    <w:rsid w:val="002F530D"/>
    <w:rsid w:val="002F72FC"/>
    <w:rsid w:val="002F74F8"/>
    <w:rsid w:val="00300A4A"/>
    <w:rsid w:val="00306DBD"/>
    <w:rsid w:val="00310D23"/>
    <w:rsid w:val="003110FC"/>
    <w:rsid w:val="00311E54"/>
    <w:rsid w:val="003125BE"/>
    <w:rsid w:val="003161E8"/>
    <w:rsid w:val="00317D9F"/>
    <w:rsid w:val="003200BB"/>
    <w:rsid w:val="00320998"/>
    <w:rsid w:val="00324423"/>
    <w:rsid w:val="0033045F"/>
    <w:rsid w:val="00330AE9"/>
    <w:rsid w:val="0033322D"/>
    <w:rsid w:val="00333EAC"/>
    <w:rsid w:val="0033536F"/>
    <w:rsid w:val="00336AD4"/>
    <w:rsid w:val="00341042"/>
    <w:rsid w:val="003414F5"/>
    <w:rsid w:val="00344120"/>
    <w:rsid w:val="00344214"/>
    <w:rsid w:val="003449BF"/>
    <w:rsid w:val="00344DBC"/>
    <w:rsid w:val="00345155"/>
    <w:rsid w:val="00346B53"/>
    <w:rsid w:val="00347127"/>
    <w:rsid w:val="00351A21"/>
    <w:rsid w:val="00351B01"/>
    <w:rsid w:val="00352EA2"/>
    <w:rsid w:val="00355845"/>
    <w:rsid w:val="00355DC8"/>
    <w:rsid w:val="00356BFD"/>
    <w:rsid w:val="00361722"/>
    <w:rsid w:val="00361C60"/>
    <w:rsid w:val="0036343D"/>
    <w:rsid w:val="00364D6E"/>
    <w:rsid w:val="0036555D"/>
    <w:rsid w:val="00365DD8"/>
    <w:rsid w:val="00365E38"/>
    <w:rsid w:val="00367815"/>
    <w:rsid w:val="00370780"/>
    <w:rsid w:val="0037179A"/>
    <w:rsid w:val="00372BEF"/>
    <w:rsid w:val="0037358D"/>
    <w:rsid w:val="00374858"/>
    <w:rsid w:val="0037492E"/>
    <w:rsid w:val="00374A11"/>
    <w:rsid w:val="0037606B"/>
    <w:rsid w:val="003763AC"/>
    <w:rsid w:val="00377BF8"/>
    <w:rsid w:val="00377D87"/>
    <w:rsid w:val="00377EAD"/>
    <w:rsid w:val="003809D0"/>
    <w:rsid w:val="00381ECE"/>
    <w:rsid w:val="003820ED"/>
    <w:rsid w:val="00382187"/>
    <w:rsid w:val="00382929"/>
    <w:rsid w:val="00382C03"/>
    <w:rsid w:val="003837FF"/>
    <w:rsid w:val="00385733"/>
    <w:rsid w:val="0038679D"/>
    <w:rsid w:val="00390853"/>
    <w:rsid w:val="00391795"/>
    <w:rsid w:val="00391DCA"/>
    <w:rsid w:val="00395829"/>
    <w:rsid w:val="003A0EB6"/>
    <w:rsid w:val="003A27CD"/>
    <w:rsid w:val="003A2BEA"/>
    <w:rsid w:val="003A2EA1"/>
    <w:rsid w:val="003A3082"/>
    <w:rsid w:val="003A42D8"/>
    <w:rsid w:val="003A56B8"/>
    <w:rsid w:val="003A5780"/>
    <w:rsid w:val="003A6427"/>
    <w:rsid w:val="003B1EE6"/>
    <w:rsid w:val="003B30D6"/>
    <w:rsid w:val="003B36C2"/>
    <w:rsid w:val="003B3CAE"/>
    <w:rsid w:val="003B5B24"/>
    <w:rsid w:val="003B5C02"/>
    <w:rsid w:val="003B6D6E"/>
    <w:rsid w:val="003B7E52"/>
    <w:rsid w:val="003C052C"/>
    <w:rsid w:val="003C3496"/>
    <w:rsid w:val="003C3B84"/>
    <w:rsid w:val="003C4B6B"/>
    <w:rsid w:val="003C7904"/>
    <w:rsid w:val="003D11F4"/>
    <w:rsid w:val="003D18C3"/>
    <w:rsid w:val="003D3C53"/>
    <w:rsid w:val="003D3E5A"/>
    <w:rsid w:val="003D4867"/>
    <w:rsid w:val="003D51B7"/>
    <w:rsid w:val="003D5855"/>
    <w:rsid w:val="003D6D19"/>
    <w:rsid w:val="003D6F29"/>
    <w:rsid w:val="003D76E9"/>
    <w:rsid w:val="003D7CDF"/>
    <w:rsid w:val="003E0120"/>
    <w:rsid w:val="003E06F2"/>
    <w:rsid w:val="003E09A2"/>
    <w:rsid w:val="003E0FAC"/>
    <w:rsid w:val="003E13D6"/>
    <w:rsid w:val="003E2581"/>
    <w:rsid w:val="003E2936"/>
    <w:rsid w:val="003E637C"/>
    <w:rsid w:val="003E6BFA"/>
    <w:rsid w:val="003E76DF"/>
    <w:rsid w:val="003F0C33"/>
    <w:rsid w:val="003F0C91"/>
    <w:rsid w:val="003F3050"/>
    <w:rsid w:val="003F6629"/>
    <w:rsid w:val="003F6B0F"/>
    <w:rsid w:val="003F756A"/>
    <w:rsid w:val="004000A0"/>
    <w:rsid w:val="00400998"/>
    <w:rsid w:val="00402B60"/>
    <w:rsid w:val="0040783B"/>
    <w:rsid w:val="004101E4"/>
    <w:rsid w:val="0041078D"/>
    <w:rsid w:val="0041120F"/>
    <w:rsid w:val="004115BD"/>
    <w:rsid w:val="00411906"/>
    <w:rsid w:val="0041210B"/>
    <w:rsid w:val="004129FC"/>
    <w:rsid w:val="00413D22"/>
    <w:rsid w:val="004145DB"/>
    <w:rsid w:val="00414C86"/>
    <w:rsid w:val="00416B82"/>
    <w:rsid w:val="00421077"/>
    <w:rsid w:val="0042156E"/>
    <w:rsid w:val="00421E22"/>
    <w:rsid w:val="00423E71"/>
    <w:rsid w:val="00424C8A"/>
    <w:rsid w:val="00425207"/>
    <w:rsid w:val="00427533"/>
    <w:rsid w:val="00430457"/>
    <w:rsid w:val="00431B80"/>
    <w:rsid w:val="00432149"/>
    <w:rsid w:val="00432D13"/>
    <w:rsid w:val="00434102"/>
    <w:rsid w:val="00434304"/>
    <w:rsid w:val="004349EF"/>
    <w:rsid w:val="004352AB"/>
    <w:rsid w:val="0044203E"/>
    <w:rsid w:val="0044275D"/>
    <w:rsid w:val="004428BD"/>
    <w:rsid w:val="00443209"/>
    <w:rsid w:val="004433A9"/>
    <w:rsid w:val="00444695"/>
    <w:rsid w:val="004504BF"/>
    <w:rsid w:val="00450890"/>
    <w:rsid w:val="00451C38"/>
    <w:rsid w:val="00453A4D"/>
    <w:rsid w:val="0045668F"/>
    <w:rsid w:val="00457071"/>
    <w:rsid w:val="0045720A"/>
    <w:rsid w:val="00460DD8"/>
    <w:rsid w:val="004620E3"/>
    <w:rsid w:val="004626E7"/>
    <w:rsid w:val="00463857"/>
    <w:rsid w:val="004648AB"/>
    <w:rsid w:val="00465333"/>
    <w:rsid w:val="00465987"/>
    <w:rsid w:val="004663EA"/>
    <w:rsid w:val="00466B41"/>
    <w:rsid w:val="00472905"/>
    <w:rsid w:val="00475375"/>
    <w:rsid w:val="004753D7"/>
    <w:rsid w:val="00476CD7"/>
    <w:rsid w:val="00476D4B"/>
    <w:rsid w:val="004804F8"/>
    <w:rsid w:val="004810DB"/>
    <w:rsid w:val="004830A0"/>
    <w:rsid w:val="00484752"/>
    <w:rsid w:val="00484A73"/>
    <w:rsid w:val="00485984"/>
    <w:rsid w:val="004860E8"/>
    <w:rsid w:val="00486309"/>
    <w:rsid w:val="00486D5A"/>
    <w:rsid w:val="00490BB1"/>
    <w:rsid w:val="004911A2"/>
    <w:rsid w:val="004922A8"/>
    <w:rsid w:val="00492E7A"/>
    <w:rsid w:val="0049384E"/>
    <w:rsid w:val="004942FD"/>
    <w:rsid w:val="00494397"/>
    <w:rsid w:val="00496B6F"/>
    <w:rsid w:val="00497864"/>
    <w:rsid w:val="004A040E"/>
    <w:rsid w:val="004A179D"/>
    <w:rsid w:val="004A1C44"/>
    <w:rsid w:val="004A2696"/>
    <w:rsid w:val="004A275D"/>
    <w:rsid w:val="004A3413"/>
    <w:rsid w:val="004A5D9F"/>
    <w:rsid w:val="004A65D8"/>
    <w:rsid w:val="004A69BD"/>
    <w:rsid w:val="004A7C0A"/>
    <w:rsid w:val="004B02B7"/>
    <w:rsid w:val="004B06A3"/>
    <w:rsid w:val="004B1809"/>
    <w:rsid w:val="004B50BD"/>
    <w:rsid w:val="004B5110"/>
    <w:rsid w:val="004B776A"/>
    <w:rsid w:val="004C0163"/>
    <w:rsid w:val="004C05F2"/>
    <w:rsid w:val="004C0C8F"/>
    <w:rsid w:val="004C10A4"/>
    <w:rsid w:val="004C17E5"/>
    <w:rsid w:val="004C3FCD"/>
    <w:rsid w:val="004C4E9F"/>
    <w:rsid w:val="004C5B7C"/>
    <w:rsid w:val="004C5DA7"/>
    <w:rsid w:val="004C72D8"/>
    <w:rsid w:val="004D0451"/>
    <w:rsid w:val="004D0E7A"/>
    <w:rsid w:val="004D0FF8"/>
    <w:rsid w:val="004D1EE9"/>
    <w:rsid w:val="004D242B"/>
    <w:rsid w:val="004D2BD9"/>
    <w:rsid w:val="004D3595"/>
    <w:rsid w:val="004D552E"/>
    <w:rsid w:val="004E0676"/>
    <w:rsid w:val="004E3F7B"/>
    <w:rsid w:val="004E4BBC"/>
    <w:rsid w:val="004F094C"/>
    <w:rsid w:val="004F38C1"/>
    <w:rsid w:val="004F4289"/>
    <w:rsid w:val="004F4BEB"/>
    <w:rsid w:val="004F4DC4"/>
    <w:rsid w:val="004F72B0"/>
    <w:rsid w:val="004F7F82"/>
    <w:rsid w:val="0050030D"/>
    <w:rsid w:val="0050453F"/>
    <w:rsid w:val="0050456F"/>
    <w:rsid w:val="00507406"/>
    <w:rsid w:val="00513878"/>
    <w:rsid w:val="00513C55"/>
    <w:rsid w:val="0051480F"/>
    <w:rsid w:val="00516A3A"/>
    <w:rsid w:val="005176AE"/>
    <w:rsid w:val="00517EA6"/>
    <w:rsid w:val="0052040F"/>
    <w:rsid w:val="00520EAC"/>
    <w:rsid w:val="005217C0"/>
    <w:rsid w:val="00523521"/>
    <w:rsid w:val="00523D31"/>
    <w:rsid w:val="00523D57"/>
    <w:rsid w:val="00524F0D"/>
    <w:rsid w:val="00525A29"/>
    <w:rsid w:val="0052668F"/>
    <w:rsid w:val="00527963"/>
    <w:rsid w:val="00530A47"/>
    <w:rsid w:val="00531FF4"/>
    <w:rsid w:val="0053200F"/>
    <w:rsid w:val="005320A9"/>
    <w:rsid w:val="0053289B"/>
    <w:rsid w:val="00535BF7"/>
    <w:rsid w:val="00535C3C"/>
    <w:rsid w:val="005367B7"/>
    <w:rsid w:val="0053690B"/>
    <w:rsid w:val="00541A3A"/>
    <w:rsid w:val="00541C80"/>
    <w:rsid w:val="0054229D"/>
    <w:rsid w:val="00542587"/>
    <w:rsid w:val="005434A1"/>
    <w:rsid w:val="00543590"/>
    <w:rsid w:val="00544505"/>
    <w:rsid w:val="00545C45"/>
    <w:rsid w:val="0054630A"/>
    <w:rsid w:val="005474C8"/>
    <w:rsid w:val="00547943"/>
    <w:rsid w:val="00551303"/>
    <w:rsid w:val="00554F4B"/>
    <w:rsid w:val="005551F2"/>
    <w:rsid w:val="005552A6"/>
    <w:rsid w:val="0055601C"/>
    <w:rsid w:val="00556C8E"/>
    <w:rsid w:val="00557C89"/>
    <w:rsid w:val="00560CF3"/>
    <w:rsid w:val="0056189B"/>
    <w:rsid w:val="005640AA"/>
    <w:rsid w:val="00564623"/>
    <w:rsid w:val="00564913"/>
    <w:rsid w:val="0056520E"/>
    <w:rsid w:val="0056568C"/>
    <w:rsid w:val="00566500"/>
    <w:rsid w:val="005706AC"/>
    <w:rsid w:val="00571C0F"/>
    <w:rsid w:val="00573295"/>
    <w:rsid w:val="00575AA5"/>
    <w:rsid w:val="005760B7"/>
    <w:rsid w:val="00581F07"/>
    <w:rsid w:val="00583A3F"/>
    <w:rsid w:val="00583B04"/>
    <w:rsid w:val="00584D6D"/>
    <w:rsid w:val="005850FD"/>
    <w:rsid w:val="0058533B"/>
    <w:rsid w:val="005855CF"/>
    <w:rsid w:val="00590051"/>
    <w:rsid w:val="00590266"/>
    <w:rsid w:val="005906E8"/>
    <w:rsid w:val="005945D6"/>
    <w:rsid w:val="00595410"/>
    <w:rsid w:val="00596708"/>
    <w:rsid w:val="0059751D"/>
    <w:rsid w:val="005A3DD9"/>
    <w:rsid w:val="005A4AF9"/>
    <w:rsid w:val="005B0ADB"/>
    <w:rsid w:val="005B0B14"/>
    <w:rsid w:val="005B3C27"/>
    <w:rsid w:val="005B49BB"/>
    <w:rsid w:val="005B67A3"/>
    <w:rsid w:val="005C01CE"/>
    <w:rsid w:val="005C43AE"/>
    <w:rsid w:val="005C50C6"/>
    <w:rsid w:val="005C5748"/>
    <w:rsid w:val="005C5EDA"/>
    <w:rsid w:val="005C5F2C"/>
    <w:rsid w:val="005C747D"/>
    <w:rsid w:val="005C7B3C"/>
    <w:rsid w:val="005D0253"/>
    <w:rsid w:val="005D2198"/>
    <w:rsid w:val="005D266E"/>
    <w:rsid w:val="005D30B6"/>
    <w:rsid w:val="005D316D"/>
    <w:rsid w:val="005D33F6"/>
    <w:rsid w:val="005D3AFF"/>
    <w:rsid w:val="005D3B1D"/>
    <w:rsid w:val="005D4C9C"/>
    <w:rsid w:val="005E0D61"/>
    <w:rsid w:val="005E119F"/>
    <w:rsid w:val="005E1EE3"/>
    <w:rsid w:val="005E4F23"/>
    <w:rsid w:val="005E552D"/>
    <w:rsid w:val="005E5DBC"/>
    <w:rsid w:val="005E7BDE"/>
    <w:rsid w:val="005F0CFA"/>
    <w:rsid w:val="005F223B"/>
    <w:rsid w:val="005F26B4"/>
    <w:rsid w:val="005F3545"/>
    <w:rsid w:val="005F4DE5"/>
    <w:rsid w:val="005F5E25"/>
    <w:rsid w:val="005F7515"/>
    <w:rsid w:val="0060056A"/>
    <w:rsid w:val="00601FAD"/>
    <w:rsid w:val="006047F7"/>
    <w:rsid w:val="00606A62"/>
    <w:rsid w:val="0061065A"/>
    <w:rsid w:val="006144D3"/>
    <w:rsid w:val="00614E40"/>
    <w:rsid w:val="0061605A"/>
    <w:rsid w:val="0062198B"/>
    <w:rsid w:val="00622667"/>
    <w:rsid w:val="0062307F"/>
    <w:rsid w:val="006259E2"/>
    <w:rsid w:val="00631979"/>
    <w:rsid w:val="00632A36"/>
    <w:rsid w:val="006344D5"/>
    <w:rsid w:val="00634FBF"/>
    <w:rsid w:val="00635AB6"/>
    <w:rsid w:val="00636060"/>
    <w:rsid w:val="006378E7"/>
    <w:rsid w:val="0064148B"/>
    <w:rsid w:val="006416FC"/>
    <w:rsid w:val="00641EAE"/>
    <w:rsid w:val="006460DF"/>
    <w:rsid w:val="00647203"/>
    <w:rsid w:val="00650B6C"/>
    <w:rsid w:val="00652274"/>
    <w:rsid w:val="00652838"/>
    <w:rsid w:val="00653047"/>
    <w:rsid w:val="00655C2A"/>
    <w:rsid w:val="00655CC7"/>
    <w:rsid w:val="0066095C"/>
    <w:rsid w:val="0066145F"/>
    <w:rsid w:val="006623E0"/>
    <w:rsid w:val="00662D61"/>
    <w:rsid w:val="00666141"/>
    <w:rsid w:val="00673B37"/>
    <w:rsid w:val="00673B4B"/>
    <w:rsid w:val="00674534"/>
    <w:rsid w:val="00674F05"/>
    <w:rsid w:val="0067622D"/>
    <w:rsid w:val="00677D61"/>
    <w:rsid w:val="0068291E"/>
    <w:rsid w:val="00686315"/>
    <w:rsid w:val="00687981"/>
    <w:rsid w:val="00687BD9"/>
    <w:rsid w:val="00691849"/>
    <w:rsid w:val="00692B84"/>
    <w:rsid w:val="00693667"/>
    <w:rsid w:val="00693D3F"/>
    <w:rsid w:val="00694195"/>
    <w:rsid w:val="0069574E"/>
    <w:rsid w:val="00696492"/>
    <w:rsid w:val="00697ACA"/>
    <w:rsid w:val="006A0307"/>
    <w:rsid w:val="006A2B10"/>
    <w:rsid w:val="006A4E86"/>
    <w:rsid w:val="006A5B57"/>
    <w:rsid w:val="006A5C81"/>
    <w:rsid w:val="006A7071"/>
    <w:rsid w:val="006B047E"/>
    <w:rsid w:val="006B2E94"/>
    <w:rsid w:val="006B5E59"/>
    <w:rsid w:val="006B603D"/>
    <w:rsid w:val="006C05F4"/>
    <w:rsid w:val="006C076F"/>
    <w:rsid w:val="006C081F"/>
    <w:rsid w:val="006C11A1"/>
    <w:rsid w:val="006C266B"/>
    <w:rsid w:val="006C53D1"/>
    <w:rsid w:val="006C5A3B"/>
    <w:rsid w:val="006C6138"/>
    <w:rsid w:val="006C6334"/>
    <w:rsid w:val="006C6367"/>
    <w:rsid w:val="006C6E78"/>
    <w:rsid w:val="006C6EA8"/>
    <w:rsid w:val="006D08A7"/>
    <w:rsid w:val="006D0E53"/>
    <w:rsid w:val="006D1479"/>
    <w:rsid w:val="006D1DF3"/>
    <w:rsid w:val="006D2D27"/>
    <w:rsid w:val="006D3B6B"/>
    <w:rsid w:val="006D5BBB"/>
    <w:rsid w:val="006D77A4"/>
    <w:rsid w:val="006E0449"/>
    <w:rsid w:val="006E13B8"/>
    <w:rsid w:val="006E2723"/>
    <w:rsid w:val="006E3B81"/>
    <w:rsid w:val="006E4A69"/>
    <w:rsid w:val="006E5481"/>
    <w:rsid w:val="006E55A9"/>
    <w:rsid w:val="006E6F5D"/>
    <w:rsid w:val="006E710D"/>
    <w:rsid w:val="006E7EEE"/>
    <w:rsid w:val="006F1B28"/>
    <w:rsid w:val="006F2015"/>
    <w:rsid w:val="006F3E0E"/>
    <w:rsid w:val="006F72CC"/>
    <w:rsid w:val="006F78A4"/>
    <w:rsid w:val="007024F5"/>
    <w:rsid w:val="007029C2"/>
    <w:rsid w:val="007050E0"/>
    <w:rsid w:val="00706A4D"/>
    <w:rsid w:val="00707915"/>
    <w:rsid w:val="00707E2C"/>
    <w:rsid w:val="00710359"/>
    <w:rsid w:val="00710EEC"/>
    <w:rsid w:val="007113B0"/>
    <w:rsid w:val="00713462"/>
    <w:rsid w:val="00713D62"/>
    <w:rsid w:val="00713DD4"/>
    <w:rsid w:val="00714EF3"/>
    <w:rsid w:val="0071661F"/>
    <w:rsid w:val="00717F72"/>
    <w:rsid w:val="0072011B"/>
    <w:rsid w:val="00720BE3"/>
    <w:rsid w:val="00722FE9"/>
    <w:rsid w:val="0072374B"/>
    <w:rsid w:val="00724496"/>
    <w:rsid w:val="00725DC4"/>
    <w:rsid w:val="007352BE"/>
    <w:rsid w:val="007361A9"/>
    <w:rsid w:val="007364BD"/>
    <w:rsid w:val="007373D0"/>
    <w:rsid w:val="00737A45"/>
    <w:rsid w:val="00744919"/>
    <w:rsid w:val="00744E79"/>
    <w:rsid w:val="007453D8"/>
    <w:rsid w:val="00745DA9"/>
    <w:rsid w:val="00746282"/>
    <w:rsid w:val="007475FD"/>
    <w:rsid w:val="007533C6"/>
    <w:rsid w:val="00753C73"/>
    <w:rsid w:val="00753ED1"/>
    <w:rsid w:val="00754538"/>
    <w:rsid w:val="00754955"/>
    <w:rsid w:val="00754AC1"/>
    <w:rsid w:val="00754BC3"/>
    <w:rsid w:val="00755DC3"/>
    <w:rsid w:val="00756975"/>
    <w:rsid w:val="00760891"/>
    <w:rsid w:val="00761278"/>
    <w:rsid w:val="00763275"/>
    <w:rsid w:val="00763650"/>
    <w:rsid w:val="00763D62"/>
    <w:rsid w:val="0076669E"/>
    <w:rsid w:val="00770FDE"/>
    <w:rsid w:val="00771BA8"/>
    <w:rsid w:val="00772183"/>
    <w:rsid w:val="0077380B"/>
    <w:rsid w:val="00774462"/>
    <w:rsid w:val="00774DC8"/>
    <w:rsid w:val="0077502A"/>
    <w:rsid w:val="00775695"/>
    <w:rsid w:val="007758AD"/>
    <w:rsid w:val="00780690"/>
    <w:rsid w:val="007806D9"/>
    <w:rsid w:val="00780CE6"/>
    <w:rsid w:val="00780E8C"/>
    <w:rsid w:val="00780EE6"/>
    <w:rsid w:val="00781A52"/>
    <w:rsid w:val="007822CE"/>
    <w:rsid w:val="00782DEC"/>
    <w:rsid w:val="00782FBF"/>
    <w:rsid w:val="0078550B"/>
    <w:rsid w:val="007857CD"/>
    <w:rsid w:val="007865DC"/>
    <w:rsid w:val="0079025D"/>
    <w:rsid w:val="00791D35"/>
    <w:rsid w:val="00791E39"/>
    <w:rsid w:val="0079383F"/>
    <w:rsid w:val="00794282"/>
    <w:rsid w:val="007951CD"/>
    <w:rsid w:val="007953D4"/>
    <w:rsid w:val="0079670E"/>
    <w:rsid w:val="007968DF"/>
    <w:rsid w:val="00796EC4"/>
    <w:rsid w:val="00797947"/>
    <w:rsid w:val="007A010A"/>
    <w:rsid w:val="007A14B8"/>
    <w:rsid w:val="007A21DD"/>
    <w:rsid w:val="007A40CD"/>
    <w:rsid w:val="007A4CBC"/>
    <w:rsid w:val="007A5C36"/>
    <w:rsid w:val="007A5DAF"/>
    <w:rsid w:val="007B1910"/>
    <w:rsid w:val="007B26F5"/>
    <w:rsid w:val="007B4CC1"/>
    <w:rsid w:val="007B7F61"/>
    <w:rsid w:val="007C05CE"/>
    <w:rsid w:val="007C1482"/>
    <w:rsid w:val="007C1BF4"/>
    <w:rsid w:val="007C2B13"/>
    <w:rsid w:val="007C33E7"/>
    <w:rsid w:val="007C4E19"/>
    <w:rsid w:val="007C4E42"/>
    <w:rsid w:val="007C509A"/>
    <w:rsid w:val="007C729B"/>
    <w:rsid w:val="007C78E1"/>
    <w:rsid w:val="007D0E2C"/>
    <w:rsid w:val="007D1749"/>
    <w:rsid w:val="007D1EF6"/>
    <w:rsid w:val="007D346B"/>
    <w:rsid w:val="007D38D0"/>
    <w:rsid w:val="007D6A2E"/>
    <w:rsid w:val="007D6C73"/>
    <w:rsid w:val="007E10D9"/>
    <w:rsid w:val="007E1216"/>
    <w:rsid w:val="007E1728"/>
    <w:rsid w:val="007E1EA9"/>
    <w:rsid w:val="007E3219"/>
    <w:rsid w:val="007E34EF"/>
    <w:rsid w:val="007E416E"/>
    <w:rsid w:val="007E7A44"/>
    <w:rsid w:val="007F27D7"/>
    <w:rsid w:val="007F284B"/>
    <w:rsid w:val="007F37F9"/>
    <w:rsid w:val="007F4A06"/>
    <w:rsid w:val="007F6B17"/>
    <w:rsid w:val="007F6BB6"/>
    <w:rsid w:val="007F7196"/>
    <w:rsid w:val="007F72E1"/>
    <w:rsid w:val="0080230D"/>
    <w:rsid w:val="008055A3"/>
    <w:rsid w:val="00805F53"/>
    <w:rsid w:val="008065A4"/>
    <w:rsid w:val="008067EC"/>
    <w:rsid w:val="0080706C"/>
    <w:rsid w:val="00810454"/>
    <w:rsid w:val="00812278"/>
    <w:rsid w:val="00813793"/>
    <w:rsid w:val="00813822"/>
    <w:rsid w:val="00813EB8"/>
    <w:rsid w:val="008200CD"/>
    <w:rsid w:val="00825CA1"/>
    <w:rsid w:val="00826BC3"/>
    <w:rsid w:val="00827603"/>
    <w:rsid w:val="00827836"/>
    <w:rsid w:val="008309E7"/>
    <w:rsid w:val="00830E4B"/>
    <w:rsid w:val="00831EBF"/>
    <w:rsid w:val="008323E9"/>
    <w:rsid w:val="008332EC"/>
    <w:rsid w:val="00835099"/>
    <w:rsid w:val="00836609"/>
    <w:rsid w:val="0083704C"/>
    <w:rsid w:val="00840088"/>
    <w:rsid w:val="0084388C"/>
    <w:rsid w:val="00845F06"/>
    <w:rsid w:val="008466E6"/>
    <w:rsid w:val="0084672E"/>
    <w:rsid w:val="00847AE2"/>
    <w:rsid w:val="00850629"/>
    <w:rsid w:val="008521A6"/>
    <w:rsid w:val="008532DC"/>
    <w:rsid w:val="00853909"/>
    <w:rsid w:val="00854901"/>
    <w:rsid w:val="00854BBB"/>
    <w:rsid w:val="00855E07"/>
    <w:rsid w:val="00855E11"/>
    <w:rsid w:val="008564BD"/>
    <w:rsid w:val="00857C14"/>
    <w:rsid w:val="0086254F"/>
    <w:rsid w:val="00862616"/>
    <w:rsid w:val="00864E35"/>
    <w:rsid w:val="008659BE"/>
    <w:rsid w:val="00867515"/>
    <w:rsid w:val="00867F22"/>
    <w:rsid w:val="00867F56"/>
    <w:rsid w:val="0087137C"/>
    <w:rsid w:val="0087215C"/>
    <w:rsid w:val="00872904"/>
    <w:rsid w:val="00872FBD"/>
    <w:rsid w:val="00872FD2"/>
    <w:rsid w:val="00873CB6"/>
    <w:rsid w:val="00874A0C"/>
    <w:rsid w:val="00877CE7"/>
    <w:rsid w:val="008812B0"/>
    <w:rsid w:val="00882636"/>
    <w:rsid w:val="00882AA1"/>
    <w:rsid w:val="00885386"/>
    <w:rsid w:val="0088639A"/>
    <w:rsid w:val="00886993"/>
    <w:rsid w:val="0088739C"/>
    <w:rsid w:val="00887D17"/>
    <w:rsid w:val="00890E18"/>
    <w:rsid w:val="00891D06"/>
    <w:rsid w:val="00893A26"/>
    <w:rsid w:val="008967D1"/>
    <w:rsid w:val="008A275E"/>
    <w:rsid w:val="008A27FA"/>
    <w:rsid w:val="008A311D"/>
    <w:rsid w:val="008A3906"/>
    <w:rsid w:val="008A4587"/>
    <w:rsid w:val="008A7C42"/>
    <w:rsid w:val="008B0244"/>
    <w:rsid w:val="008B066B"/>
    <w:rsid w:val="008B26EB"/>
    <w:rsid w:val="008B3ACA"/>
    <w:rsid w:val="008B468B"/>
    <w:rsid w:val="008B4E42"/>
    <w:rsid w:val="008B54DD"/>
    <w:rsid w:val="008B57F1"/>
    <w:rsid w:val="008B5D77"/>
    <w:rsid w:val="008B6423"/>
    <w:rsid w:val="008B716F"/>
    <w:rsid w:val="008C0030"/>
    <w:rsid w:val="008C239E"/>
    <w:rsid w:val="008C36D5"/>
    <w:rsid w:val="008C4081"/>
    <w:rsid w:val="008D2D72"/>
    <w:rsid w:val="008D3A86"/>
    <w:rsid w:val="008D3B3B"/>
    <w:rsid w:val="008D3C84"/>
    <w:rsid w:val="008D627E"/>
    <w:rsid w:val="008D72DC"/>
    <w:rsid w:val="008E0108"/>
    <w:rsid w:val="008E12F3"/>
    <w:rsid w:val="008E6B12"/>
    <w:rsid w:val="008F1D58"/>
    <w:rsid w:val="008F3573"/>
    <w:rsid w:val="008F7DFE"/>
    <w:rsid w:val="0090028D"/>
    <w:rsid w:val="00900835"/>
    <w:rsid w:val="009010F0"/>
    <w:rsid w:val="00901ECF"/>
    <w:rsid w:val="009021F6"/>
    <w:rsid w:val="00907D45"/>
    <w:rsid w:val="00907E0D"/>
    <w:rsid w:val="00907EB4"/>
    <w:rsid w:val="009103B9"/>
    <w:rsid w:val="00912EE5"/>
    <w:rsid w:val="00916266"/>
    <w:rsid w:val="00917C89"/>
    <w:rsid w:val="00920485"/>
    <w:rsid w:val="009205DA"/>
    <w:rsid w:val="0092060B"/>
    <w:rsid w:val="00921276"/>
    <w:rsid w:val="00922358"/>
    <w:rsid w:val="00923C7D"/>
    <w:rsid w:val="0092415F"/>
    <w:rsid w:val="00924C17"/>
    <w:rsid w:val="009264FD"/>
    <w:rsid w:val="00926DFE"/>
    <w:rsid w:val="009361FA"/>
    <w:rsid w:val="00940010"/>
    <w:rsid w:val="0094141C"/>
    <w:rsid w:val="00941790"/>
    <w:rsid w:val="00941AD3"/>
    <w:rsid w:val="00942B51"/>
    <w:rsid w:val="00943E67"/>
    <w:rsid w:val="009459B9"/>
    <w:rsid w:val="00953B55"/>
    <w:rsid w:val="00953D1B"/>
    <w:rsid w:val="00955F8D"/>
    <w:rsid w:val="00956DD1"/>
    <w:rsid w:val="00962290"/>
    <w:rsid w:val="00965531"/>
    <w:rsid w:val="00965C75"/>
    <w:rsid w:val="00966E84"/>
    <w:rsid w:val="009673EC"/>
    <w:rsid w:val="00971398"/>
    <w:rsid w:val="00971416"/>
    <w:rsid w:val="009719E1"/>
    <w:rsid w:val="0097263D"/>
    <w:rsid w:val="00972A0E"/>
    <w:rsid w:val="00973C12"/>
    <w:rsid w:val="00973D18"/>
    <w:rsid w:val="00982D53"/>
    <w:rsid w:val="0098799B"/>
    <w:rsid w:val="00987B46"/>
    <w:rsid w:val="00990273"/>
    <w:rsid w:val="0099161B"/>
    <w:rsid w:val="00991DA7"/>
    <w:rsid w:val="00993A76"/>
    <w:rsid w:val="009943D9"/>
    <w:rsid w:val="00996138"/>
    <w:rsid w:val="009A038C"/>
    <w:rsid w:val="009A1A1F"/>
    <w:rsid w:val="009A2224"/>
    <w:rsid w:val="009A3153"/>
    <w:rsid w:val="009A327D"/>
    <w:rsid w:val="009A3F28"/>
    <w:rsid w:val="009A4038"/>
    <w:rsid w:val="009A4F18"/>
    <w:rsid w:val="009A6A54"/>
    <w:rsid w:val="009A73CC"/>
    <w:rsid w:val="009B0755"/>
    <w:rsid w:val="009B0F2D"/>
    <w:rsid w:val="009B1514"/>
    <w:rsid w:val="009B37A1"/>
    <w:rsid w:val="009B5252"/>
    <w:rsid w:val="009B52A9"/>
    <w:rsid w:val="009B570C"/>
    <w:rsid w:val="009B5F70"/>
    <w:rsid w:val="009B640B"/>
    <w:rsid w:val="009B652B"/>
    <w:rsid w:val="009B65E5"/>
    <w:rsid w:val="009C1771"/>
    <w:rsid w:val="009C2123"/>
    <w:rsid w:val="009C4E4D"/>
    <w:rsid w:val="009C571B"/>
    <w:rsid w:val="009C61FD"/>
    <w:rsid w:val="009C79E5"/>
    <w:rsid w:val="009D53BD"/>
    <w:rsid w:val="009E05CC"/>
    <w:rsid w:val="009E0BE3"/>
    <w:rsid w:val="009E16BF"/>
    <w:rsid w:val="009E2BC8"/>
    <w:rsid w:val="009E31C0"/>
    <w:rsid w:val="009E332A"/>
    <w:rsid w:val="009E4DBE"/>
    <w:rsid w:val="009E5BDB"/>
    <w:rsid w:val="009E771B"/>
    <w:rsid w:val="009F11D2"/>
    <w:rsid w:val="009F1F97"/>
    <w:rsid w:val="009F27C5"/>
    <w:rsid w:val="009F3222"/>
    <w:rsid w:val="009F35E7"/>
    <w:rsid w:val="009F4107"/>
    <w:rsid w:val="009F4E7A"/>
    <w:rsid w:val="009F5B19"/>
    <w:rsid w:val="009F60E5"/>
    <w:rsid w:val="00A00F64"/>
    <w:rsid w:val="00A00FBE"/>
    <w:rsid w:val="00A0386E"/>
    <w:rsid w:val="00A038D5"/>
    <w:rsid w:val="00A044DF"/>
    <w:rsid w:val="00A04C63"/>
    <w:rsid w:val="00A0532B"/>
    <w:rsid w:val="00A05388"/>
    <w:rsid w:val="00A053B4"/>
    <w:rsid w:val="00A054E9"/>
    <w:rsid w:val="00A0551C"/>
    <w:rsid w:val="00A05CBB"/>
    <w:rsid w:val="00A07B87"/>
    <w:rsid w:val="00A11049"/>
    <w:rsid w:val="00A11F73"/>
    <w:rsid w:val="00A124EB"/>
    <w:rsid w:val="00A12C26"/>
    <w:rsid w:val="00A13BD9"/>
    <w:rsid w:val="00A14474"/>
    <w:rsid w:val="00A15B09"/>
    <w:rsid w:val="00A17303"/>
    <w:rsid w:val="00A204A1"/>
    <w:rsid w:val="00A2112D"/>
    <w:rsid w:val="00A22461"/>
    <w:rsid w:val="00A228D3"/>
    <w:rsid w:val="00A230A6"/>
    <w:rsid w:val="00A230A9"/>
    <w:rsid w:val="00A23F31"/>
    <w:rsid w:val="00A2572C"/>
    <w:rsid w:val="00A25840"/>
    <w:rsid w:val="00A26E50"/>
    <w:rsid w:val="00A27328"/>
    <w:rsid w:val="00A27A4B"/>
    <w:rsid w:val="00A304CD"/>
    <w:rsid w:val="00A30CA4"/>
    <w:rsid w:val="00A3157F"/>
    <w:rsid w:val="00A32DCB"/>
    <w:rsid w:val="00A35C1C"/>
    <w:rsid w:val="00A35DDB"/>
    <w:rsid w:val="00A37929"/>
    <w:rsid w:val="00A42F53"/>
    <w:rsid w:val="00A44059"/>
    <w:rsid w:val="00A45D18"/>
    <w:rsid w:val="00A51A2C"/>
    <w:rsid w:val="00A52CFD"/>
    <w:rsid w:val="00A53A6A"/>
    <w:rsid w:val="00A552B0"/>
    <w:rsid w:val="00A574F2"/>
    <w:rsid w:val="00A579A7"/>
    <w:rsid w:val="00A57D04"/>
    <w:rsid w:val="00A60719"/>
    <w:rsid w:val="00A625E3"/>
    <w:rsid w:val="00A63D04"/>
    <w:rsid w:val="00A655FD"/>
    <w:rsid w:val="00A701B8"/>
    <w:rsid w:val="00A71621"/>
    <w:rsid w:val="00A72591"/>
    <w:rsid w:val="00A7288B"/>
    <w:rsid w:val="00A72CE1"/>
    <w:rsid w:val="00A72E83"/>
    <w:rsid w:val="00A7399F"/>
    <w:rsid w:val="00A7542F"/>
    <w:rsid w:val="00A754A4"/>
    <w:rsid w:val="00A81973"/>
    <w:rsid w:val="00A8488C"/>
    <w:rsid w:val="00A8514B"/>
    <w:rsid w:val="00A86FC8"/>
    <w:rsid w:val="00A875BD"/>
    <w:rsid w:val="00A906A5"/>
    <w:rsid w:val="00A90844"/>
    <w:rsid w:val="00A90AB7"/>
    <w:rsid w:val="00A91D07"/>
    <w:rsid w:val="00A92690"/>
    <w:rsid w:val="00A92F31"/>
    <w:rsid w:val="00A9470B"/>
    <w:rsid w:val="00A954D0"/>
    <w:rsid w:val="00A95CE0"/>
    <w:rsid w:val="00A96418"/>
    <w:rsid w:val="00A97B81"/>
    <w:rsid w:val="00A97BDC"/>
    <w:rsid w:val="00AA1B80"/>
    <w:rsid w:val="00AA25AA"/>
    <w:rsid w:val="00AA2FF0"/>
    <w:rsid w:val="00AA4859"/>
    <w:rsid w:val="00AA4B1D"/>
    <w:rsid w:val="00AA5EFE"/>
    <w:rsid w:val="00AA6049"/>
    <w:rsid w:val="00AA6535"/>
    <w:rsid w:val="00AA668E"/>
    <w:rsid w:val="00AA6B92"/>
    <w:rsid w:val="00AA7451"/>
    <w:rsid w:val="00AB07E7"/>
    <w:rsid w:val="00AB1226"/>
    <w:rsid w:val="00AB1894"/>
    <w:rsid w:val="00AB2B46"/>
    <w:rsid w:val="00AB5093"/>
    <w:rsid w:val="00AB5530"/>
    <w:rsid w:val="00AC034D"/>
    <w:rsid w:val="00AC0CC7"/>
    <w:rsid w:val="00AC0CDD"/>
    <w:rsid w:val="00AC0E6E"/>
    <w:rsid w:val="00AC3E21"/>
    <w:rsid w:val="00AC467E"/>
    <w:rsid w:val="00AC7A1C"/>
    <w:rsid w:val="00AD090B"/>
    <w:rsid w:val="00AD202F"/>
    <w:rsid w:val="00AD21FE"/>
    <w:rsid w:val="00AD60D4"/>
    <w:rsid w:val="00AD69EA"/>
    <w:rsid w:val="00AE06C7"/>
    <w:rsid w:val="00AE0BDD"/>
    <w:rsid w:val="00AE10E9"/>
    <w:rsid w:val="00AE3186"/>
    <w:rsid w:val="00AE39E6"/>
    <w:rsid w:val="00AE3FC1"/>
    <w:rsid w:val="00AE50DD"/>
    <w:rsid w:val="00AF1555"/>
    <w:rsid w:val="00AF22BF"/>
    <w:rsid w:val="00AF28F1"/>
    <w:rsid w:val="00AF3298"/>
    <w:rsid w:val="00AF6192"/>
    <w:rsid w:val="00AF7DD7"/>
    <w:rsid w:val="00AF7E86"/>
    <w:rsid w:val="00B007A4"/>
    <w:rsid w:val="00B01ABF"/>
    <w:rsid w:val="00B03EE2"/>
    <w:rsid w:val="00B04024"/>
    <w:rsid w:val="00B048E6"/>
    <w:rsid w:val="00B0526D"/>
    <w:rsid w:val="00B0553A"/>
    <w:rsid w:val="00B05693"/>
    <w:rsid w:val="00B1164C"/>
    <w:rsid w:val="00B11886"/>
    <w:rsid w:val="00B16F5D"/>
    <w:rsid w:val="00B200AA"/>
    <w:rsid w:val="00B20694"/>
    <w:rsid w:val="00B22295"/>
    <w:rsid w:val="00B22B6B"/>
    <w:rsid w:val="00B233C4"/>
    <w:rsid w:val="00B23B66"/>
    <w:rsid w:val="00B23ED8"/>
    <w:rsid w:val="00B2570A"/>
    <w:rsid w:val="00B27D38"/>
    <w:rsid w:val="00B30723"/>
    <w:rsid w:val="00B30B36"/>
    <w:rsid w:val="00B31732"/>
    <w:rsid w:val="00B33044"/>
    <w:rsid w:val="00B34301"/>
    <w:rsid w:val="00B34A6E"/>
    <w:rsid w:val="00B36C25"/>
    <w:rsid w:val="00B43A5D"/>
    <w:rsid w:val="00B43B76"/>
    <w:rsid w:val="00B441F7"/>
    <w:rsid w:val="00B45F1E"/>
    <w:rsid w:val="00B46890"/>
    <w:rsid w:val="00B46942"/>
    <w:rsid w:val="00B4700B"/>
    <w:rsid w:val="00B51897"/>
    <w:rsid w:val="00B52965"/>
    <w:rsid w:val="00B5340B"/>
    <w:rsid w:val="00B538CD"/>
    <w:rsid w:val="00B53FE1"/>
    <w:rsid w:val="00B57C30"/>
    <w:rsid w:val="00B602B3"/>
    <w:rsid w:val="00B6103D"/>
    <w:rsid w:val="00B616EB"/>
    <w:rsid w:val="00B65F2D"/>
    <w:rsid w:val="00B70706"/>
    <w:rsid w:val="00B70D9C"/>
    <w:rsid w:val="00B727ED"/>
    <w:rsid w:val="00B75007"/>
    <w:rsid w:val="00B75021"/>
    <w:rsid w:val="00B750AF"/>
    <w:rsid w:val="00B7570B"/>
    <w:rsid w:val="00B80122"/>
    <w:rsid w:val="00B84846"/>
    <w:rsid w:val="00B9188B"/>
    <w:rsid w:val="00B933CD"/>
    <w:rsid w:val="00B93D3D"/>
    <w:rsid w:val="00B93D7C"/>
    <w:rsid w:val="00B9459A"/>
    <w:rsid w:val="00BA0134"/>
    <w:rsid w:val="00BA5949"/>
    <w:rsid w:val="00BA59F4"/>
    <w:rsid w:val="00BA681E"/>
    <w:rsid w:val="00BA7FA0"/>
    <w:rsid w:val="00BB11CC"/>
    <w:rsid w:val="00BB1862"/>
    <w:rsid w:val="00BB1E64"/>
    <w:rsid w:val="00BB3273"/>
    <w:rsid w:val="00BB39EE"/>
    <w:rsid w:val="00BB67FE"/>
    <w:rsid w:val="00BB7458"/>
    <w:rsid w:val="00BB7C92"/>
    <w:rsid w:val="00BC3853"/>
    <w:rsid w:val="00BC3B50"/>
    <w:rsid w:val="00BC4C67"/>
    <w:rsid w:val="00BC68A3"/>
    <w:rsid w:val="00BC7DF2"/>
    <w:rsid w:val="00BD256A"/>
    <w:rsid w:val="00BD55B6"/>
    <w:rsid w:val="00BD72B6"/>
    <w:rsid w:val="00BE0498"/>
    <w:rsid w:val="00BE04A3"/>
    <w:rsid w:val="00BE06C8"/>
    <w:rsid w:val="00BE0E53"/>
    <w:rsid w:val="00BE2CCB"/>
    <w:rsid w:val="00BE3EBF"/>
    <w:rsid w:val="00BE589E"/>
    <w:rsid w:val="00BE6558"/>
    <w:rsid w:val="00BE787B"/>
    <w:rsid w:val="00BF1DF0"/>
    <w:rsid w:val="00BF3278"/>
    <w:rsid w:val="00BF4813"/>
    <w:rsid w:val="00BF5584"/>
    <w:rsid w:val="00C00180"/>
    <w:rsid w:val="00C01A22"/>
    <w:rsid w:val="00C0379A"/>
    <w:rsid w:val="00C0540F"/>
    <w:rsid w:val="00C05C89"/>
    <w:rsid w:val="00C06A5E"/>
    <w:rsid w:val="00C1146C"/>
    <w:rsid w:val="00C163AC"/>
    <w:rsid w:val="00C21B34"/>
    <w:rsid w:val="00C2384C"/>
    <w:rsid w:val="00C24237"/>
    <w:rsid w:val="00C24838"/>
    <w:rsid w:val="00C2587C"/>
    <w:rsid w:val="00C26574"/>
    <w:rsid w:val="00C26EEB"/>
    <w:rsid w:val="00C3031D"/>
    <w:rsid w:val="00C32465"/>
    <w:rsid w:val="00C32900"/>
    <w:rsid w:val="00C3320A"/>
    <w:rsid w:val="00C333C0"/>
    <w:rsid w:val="00C34FDF"/>
    <w:rsid w:val="00C3587D"/>
    <w:rsid w:val="00C35CB7"/>
    <w:rsid w:val="00C36B08"/>
    <w:rsid w:val="00C378E4"/>
    <w:rsid w:val="00C37ED6"/>
    <w:rsid w:val="00C400BF"/>
    <w:rsid w:val="00C43464"/>
    <w:rsid w:val="00C45C1A"/>
    <w:rsid w:val="00C45CC1"/>
    <w:rsid w:val="00C4619C"/>
    <w:rsid w:val="00C47767"/>
    <w:rsid w:val="00C52C5E"/>
    <w:rsid w:val="00C550B6"/>
    <w:rsid w:val="00C559AD"/>
    <w:rsid w:val="00C55FEC"/>
    <w:rsid w:val="00C5738E"/>
    <w:rsid w:val="00C57687"/>
    <w:rsid w:val="00C602B6"/>
    <w:rsid w:val="00C60D19"/>
    <w:rsid w:val="00C61278"/>
    <w:rsid w:val="00C62774"/>
    <w:rsid w:val="00C63EFC"/>
    <w:rsid w:val="00C71839"/>
    <w:rsid w:val="00C75ADC"/>
    <w:rsid w:val="00C7664F"/>
    <w:rsid w:val="00C76771"/>
    <w:rsid w:val="00C77410"/>
    <w:rsid w:val="00C804DF"/>
    <w:rsid w:val="00C80911"/>
    <w:rsid w:val="00C81502"/>
    <w:rsid w:val="00C81C18"/>
    <w:rsid w:val="00C83363"/>
    <w:rsid w:val="00C85503"/>
    <w:rsid w:val="00C862B9"/>
    <w:rsid w:val="00C86872"/>
    <w:rsid w:val="00C870CA"/>
    <w:rsid w:val="00C90618"/>
    <w:rsid w:val="00C94E10"/>
    <w:rsid w:val="00C94EF4"/>
    <w:rsid w:val="00CA1633"/>
    <w:rsid w:val="00CA3352"/>
    <w:rsid w:val="00CA3CB6"/>
    <w:rsid w:val="00CA4688"/>
    <w:rsid w:val="00CA75EA"/>
    <w:rsid w:val="00CB05CD"/>
    <w:rsid w:val="00CB0841"/>
    <w:rsid w:val="00CB0D24"/>
    <w:rsid w:val="00CB1CC8"/>
    <w:rsid w:val="00CB26D4"/>
    <w:rsid w:val="00CB4AFD"/>
    <w:rsid w:val="00CB4BEB"/>
    <w:rsid w:val="00CB4F89"/>
    <w:rsid w:val="00CB7502"/>
    <w:rsid w:val="00CB7668"/>
    <w:rsid w:val="00CC16F4"/>
    <w:rsid w:val="00CC2885"/>
    <w:rsid w:val="00CC2CA7"/>
    <w:rsid w:val="00CC4C5E"/>
    <w:rsid w:val="00CC5DC0"/>
    <w:rsid w:val="00CC7C76"/>
    <w:rsid w:val="00CD28D1"/>
    <w:rsid w:val="00CD3A16"/>
    <w:rsid w:val="00CD4338"/>
    <w:rsid w:val="00CD5C85"/>
    <w:rsid w:val="00CD6D72"/>
    <w:rsid w:val="00CE0DDB"/>
    <w:rsid w:val="00CE1B80"/>
    <w:rsid w:val="00CE298E"/>
    <w:rsid w:val="00CE3FD6"/>
    <w:rsid w:val="00CE478D"/>
    <w:rsid w:val="00CE5860"/>
    <w:rsid w:val="00CE65FA"/>
    <w:rsid w:val="00CF055D"/>
    <w:rsid w:val="00CF1B69"/>
    <w:rsid w:val="00CF4A2C"/>
    <w:rsid w:val="00CF4A52"/>
    <w:rsid w:val="00CF4EA8"/>
    <w:rsid w:val="00D02190"/>
    <w:rsid w:val="00D033B8"/>
    <w:rsid w:val="00D042E7"/>
    <w:rsid w:val="00D05562"/>
    <w:rsid w:val="00D05644"/>
    <w:rsid w:val="00D06089"/>
    <w:rsid w:val="00D06A4C"/>
    <w:rsid w:val="00D07567"/>
    <w:rsid w:val="00D07603"/>
    <w:rsid w:val="00D07A66"/>
    <w:rsid w:val="00D1345A"/>
    <w:rsid w:val="00D1446C"/>
    <w:rsid w:val="00D149B2"/>
    <w:rsid w:val="00D16D70"/>
    <w:rsid w:val="00D1739B"/>
    <w:rsid w:val="00D214A4"/>
    <w:rsid w:val="00D21657"/>
    <w:rsid w:val="00D21668"/>
    <w:rsid w:val="00D22F7D"/>
    <w:rsid w:val="00D24BDA"/>
    <w:rsid w:val="00D258BD"/>
    <w:rsid w:val="00D2677D"/>
    <w:rsid w:val="00D30800"/>
    <w:rsid w:val="00D322AC"/>
    <w:rsid w:val="00D325D8"/>
    <w:rsid w:val="00D32C8F"/>
    <w:rsid w:val="00D34008"/>
    <w:rsid w:val="00D36487"/>
    <w:rsid w:val="00D4222B"/>
    <w:rsid w:val="00D4277F"/>
    <w:rsid w:val="00D42A62"/>
    <w:rsid w:val="00D43C33"/>
    <w:rsid w:val="00D46825"/>
    <w:rsid w:val="00D479AD"/>
    <w:rsid w:val="00D518C8"/>
    <w:rsid w:val="00D5398A"/>
    <w:rsid w:val="00D54FB5"/>
    <w:rsid w:val="00D5507E"/>
    <w:rsid w:val="00D55C34"/>
    <w:rsid w:val="00D56B24"/>
    <w:rsid w:val="00D60815"/>
    <w:rsid w:val="00D6154D"/>
    <w:rsid w:val="00D65C39"/>
    <w:rsid w:val="00D66D6B"/>
    <w:rsid w:val="00D67556"/>
    <w:rsid w:val="00D675FB"/>
    <w:rsid w:val="00D67C9C"/>
    <w:rsid w:val="00D70360"/>
    <w:rsid w:val="00D72B7A"/>
    <w:rsid w:val="00D76DAE"/>
    <w:rsid w:val="00D7781F"/>
    <w:rsid w:val="00D77EE4"/>
    <w:rsid w:val="00D81EB6"/>
    <w:rsid w:val="00D828A6"/>
    <w:rsid w:val="00D8412D"/>
    <w:rsid w:val="00D862C0"/>
    <w:rsid w:val="00D86724"/>
    <w:rsid w:val="00D91694"/>
    <w:rsid w:val="00D94C98"/>
    <w:rsid w:val="00D94D0B"/>
    <w:rsid w:val="00D95FD1"/>
    <w:rsid w:val="00D97748"/>
    <w:rsid w:val="00DA06C2"/>
    <w:rsid w:val="00DA1BBB"/>
    <w:rsid w:val="00DA2DF7"/>
    <w:rsid w:val="00DA2E63"/>
    <w:rsid w:val="00DA3D08"/>
    <w:rsid w:val="00DA48E7"/>
    <w:rsid w:val="00DA4B14"/>
    <w:rsid w:val="00DA509A"/>
    <w:rsid w:val="00DA5D47"/>
    <w:rsid w:val="00DA5D6A"/>
    <w:rsid w:val="00DA641E"/>
    <w:rsid w:val="00DA6919"/>
    <w:rsid w:val="00DA7ADC"/>
    <w:rsid w:val="00DB06D5"/>
    <w:rsid w:val="00DB0787"/>
    <w:rsid w:val="00DB0B7E"/>
    <w:rsid w:val="00DB0E6B"/>
    <w:rsid w:val="00DB15C1"/>
    <w:rsid w:val="00DB26A7"/>
    <w:rsid w:val="00DB3E1D"/>
    <w:rsid w:val="00DB4051"/>
    <w:rsid w:val="00DB5B88"/>
    <w:rsid w:val="00DB7F54"/>
    <w:rsid w:val="00DC02FE"/>
    <w:rsid w:val="00DC0B9B"/>
    <w:rsid w:val="00DC16CE"/>
    <w:rsid w:val="00DC1F0D"/>
    <w:rsid w:val="00DC2D24"/>
    <w:rsid w:val="00DC62E7"/>
    <w:rsid w:val="00DD0262"/>
    <w:rsid w:val="00DD1B50"/>
    <w:rsid w:val="00DD272F"/>
    <w:rsid w:val="00DD2BE6"/>
    <w:rsid w:val="00DD3D25"/>
    <w:rsid w:val="00DD3D47"/>
    <w:rsid w:val="00DD445F"/>
    <w:rsid w:val="00DD4660"/>
    <w:rsid w:val="00DD7185"/>
    <w:rsid w:val="00DE30DD"/>
    <w:rsid w:val="00DE312A"/>
    <w:rsid w:val="00DE3A3B"/>
    <w:rsid w:val="00DE47E3"/>
    <w:rsid w:val="00DE4CAF"/>
    <w:rsid w:val="00DE4F62"/>
    <w:rsid w:val="00DE7FC3"/>
    <w:rsid w:val="00DF0B4A"/>
    <w:rsid w:val="00DF0C9F"/>
    <w:rsid w:val="00DF1521"/>
    <w:rsid w:val="00DF45E3"/>
    <w:rsid w:val="00DF6B5F"/>
    <w:rsid w:val="00DF72B6"/>
    <w:rsid w:val="00DF7FA9"/>
    <w:rsid w:val="00E00430"/>
    <w:rsid w:val="00E02330"/>
    <w:rsid w:val="00E04460"/>
    <w:rsid w:val="00E05330"/>
    <w:rsid w:val="00E05E1A"/>
    <w:rsid w:val="00E154CF"/>
    <w:rsid w:val="00E202A8"/>
    <w:rsid w:val="00E21048"/>
    <w:rsid w:val="00E2104A"/>
    <w:rsid w:val="00E21292"/>
    <w:rsid w:val="00E22E9B"/>
    <w:rsid w:val="00E2302B"/>
    <w:rsid w:val="00E23355"/>
    <w:rsid w:val="00E23A77"/>
    <w:rsid w:val="00E24FD4"/>
    <w:rsid w:val="00E305D3"/>
    <w:rsid w:val="00E3137F"/>
    <w:rsid w:val="00E33167"/>
    <w:rsid w:val="00E33A78"/>
    <w:rsid w:val="00E33C82"/>
    <w:rsid w:val="00E34465"/>
    <w:rsid w:val="00E35190"/>
    <w:rsid w:val="00E35AD9"/>
    <w:rsid w:val="00E36563"/>
    <w:rsid w:val="00E369EA"/>
    <w:rsid w:val="00E372AA"/>
    <w:rsid w:val="00E41765"/>
    <w:rsid w:val="00E42C18"/>
    <w:rsid w:val="00E42CD0"/>
    <w:rsid w:val="00E46CD7"/>
    <w:rsid w:val="00E46FE6"/>
    <w:rsid w:val="00E50B17"/>
    <w:rsid w:val="00E5193E"/>
    <w:rsid w:val="00E5221A"/>
    <w:rsid w:val="00E523D6"/>
    <w:rsid w:val="00E52FD3"/>
    <w:rsid w:val="00E57BD8"/>
    <w:rsid w:val="00E60AD9"/>
    <w:rsid w:val="00E60BFE"/>
    <w:rsid w:val="00E62EF0"/>
    <w:rsid w:val="00E6446A"/>
    <w:rsid w:val="00E64BC8"/>
    <w:rsid w:val="00E64E8A"/>
    <w:rsid w:val="00E65F3E"/>
    <w:rsid w:val="00E66285"/>
    <w:rsid w:val="00E66314"/>
    <w:rsid w:val="00E66574"/>
    <w:rsid w:val="00E67408"/>
    <w:rsid w:val="00E6783A"/>
    <w:rsid w:val="00E7022D"/>
    <w:rsid w:val="00E70ADC"/>
    <w:rsid w:val="00E71E80"/>
    <w:rsid w:val="00E720E4"/>
    <w:rsid w:val="00E725A5"/>
    <w:rsid w:val="00E72AF5"/>
    <w:rsid w:val="00E72D95"/>
    <w:rsid w:val="00E7311E"/>
    <w:rsid w:val="00E75BF7"/>
    <w:rsid w:val="00E75D42"/>
    <w:rsid w:val="00E77020"/>
    <w:rsid w:val="00E772CC"/>
    <w:rsid w:val="00E77E29"/>
    <w:rsid w:val="00E80360"/>
    <w:rsid w:val="00E86079"/>
    <w:rsid w:val="00E87D7E"/>
    <w:rsid w:val="00E90715"/>
    <w:rsid w:val="00E94C22"/>
    <w:rsid w:val="00E96960"/>
    <w:rsid w:val="00E972DD"/>
    <w:rsid w:val="00EA23D0"/>
    <w:rsid w:val="00EA2565"/>
    <w:rsid w:val="00EA436F"/>
    <w:rsid w:val="00EA6680"/>
    <w:rsid w:val="00EA7C10"/>
    <w:rsid w:val="00EB02F0"/>
    <w:rsid w:val="00EB0801"/>
    <w:rsid w:val="00EB09F7"/>
    <w:rsid w:val="00EB1288"/>
    <w:rsid w:val="00EB15EC"/>
    <w:rsid w:val="00EB1806"/>
    <w:rsid w:val="00EB3C28"/>
    <w:rsid w:val="00EB5111"/>
    <w:rsid w:val="00EB6781"/>
    <w:rsid w:val="00EB6E25"/>
    <w:rsid w:val="00EB6F4C"/>
    <w:rsid w:val="00EC02FF"/>
    <w:rsid w:val="00EC11D4"/>
    <w:rsid w:val="00EC1591"/>
    <w:rsid w:val="00EC2F6E"/>
    <w:rsid w:val="00EC406A"/>
    <w:rsid w:val="00EC46CA"/>
    <w:rsid w:val="00EC4FDC"/>
    <w:rsid w:val="00EC671D"/>
    <w:rsid w:val="00EC767A"/>
    <w:rsid w:val="00ED0AB0"/>
    <w:rsid w:val="00ED253E"/>
    <w:rsid w:val="00ED28B4"/>
    <w:rsid w:val="00ED2B43"/>
    <w:rsid w:val="00ED2ED1"/>
    <w:rsid w:val="00ED3265"/>
    <w:rsid w:val="00ED51CA"/>
    <w:rsid w:val="00ED5DA2"/>
    <w:rsid w:val="00ED6654"/>
    <w:rsid w:val="00ED6F65"/>
    <w:rsid w:val="00EE0208"/>
    <w:rsid w:val="00EE08F7"/>
    <w:rsid w:val="00EE2579"/>
    <w:rsid w:val="00EE4DA2"/>
    <w:rsid w:val="00EE4E13"/>
    <w:rsid w:val="00EE4F83"/>
    <w:rsid w:val="00EE644D"/>
    <w:rsid w:val="00EE7F5E"/>
    <w:rsid w:val="00EF0504"/>
    <w:rsid w:val="00EF06B1"/>
    <w:rsid w:val="00EF100D"/>
    <w:rsid w:val="00EF13A3"/>
    <w:rsid w:val="00EF3DA6"/>
    <w:rsid w:val="00EF41C1"/>
    <w:rsid w:val="00EF4BCA"/>
    <w:rsid w:val="00EF78E8"/>
    <w:rsid w:val="00F0201A"/>
    <w:rsid w:val="00F02A97"/>
    <w:rsid w:val="00F033E8"/>
    <w:rsid w:val="00F04902"/>
    <w:rsid w:val="00F04B14"/>
    <w:rsid w:val="00F07D28"/>
    <w:rsid w:val="00F07E9E"/>
    <w:rsid w:val="00F10718"/>
    <w:rsid w:val="00F15FFB"/>
    <w:rsid w:val="00F227C3"/>
    <w:rsid w:val="00F23536"/>
    <w:rsid w:val="00F246A1"/>
    <w:rsid w:val="00F3008E"/>
    <w:rsid w:val="00F30499"/>
    <w:rsid w:val="00F32A0F"/>
    <w:rsid w:val="00F34742"/>
    <w:rsid w:val="00F35A66"/>
    <w:rsid w:val="00F361AE"/>
    <w:rsid w:val="00F36FE2"/>
    <w:rsid w:val="00F41753"/>
    <w:rsid w:val="00F4243F"/>
    <w:rsid w:val="00F4249E"/>
    <w:rsid w:val="00F427B4"/>
    <w:rsid w:val="00F432D3"/>
    <w:rsid w:val="00F46AFB"/>
    <w:rsid w:val="00F508FD"/>
    <w:rsid w:val="00F512CC"/>
    <w:rsid w:val="00F5245A"/>
    <w:rsid w:val="00F52767"/>
    <w:rsid w:val="00F527B5"/>
    <w:rsid w:val="00F52C59"/>
    <w:rsid w:val="00F54857"/>
    <w:rsid w:val="00F565C8"/>
    <w:rsid w:val="00F56FFA"/>
    <w:rsid w:val="00F573B2"/>
    <w:rsid w:val="00F61886"/>
    <w:rsid w:val="00F623FB"/>
    <w:rsid w:val="00F62C85"/>
    <w:rsid w:val="00F63360"/>
    <w:rsid w:val="00F65D03"/>
    <w:rsid w:val="00F66995"/>
    <w:rsid w:val="00F67775"/>
    <w:rsid w:val="00F71337"/>
    <w:rsid w:val="00F71603"/>
    <w:rsid w:val="00F71B7E"/>
    <w:rsid w:val="00F72C52"/>
    <w:rsid w:val="00F73BD0"/>
    <w:rsid w:val="00F74157"/>
    <w:rsid w:val="00F743CD"/>
    <w:rsid w:val="00F767CF"/>
    <w:rsid w:val="00F770C6"/>
    <w:rsid w:val="00F77734"/>
    <w:rsid w:val="00F77951"/>
    <w:rsid w:val="00F779A6"/>
    <w:rsid w:val="00F837C5"/>
    <w:rsid w:val="00F84AD4"/>
    <w:rsid w:val="00F85AB5"/>
    <w:rsid w:val="00F90D98"/>
    <w:rsid w:val="00F912CD"/>
    <w:rsid w:val="00F916E5"/>
    <w:rsid w:val="00F92237"/>
    <w:rsid w:val="00F94FB7"/>
    <w:rsid w:val="00F95633"/>
    <w:rsid w:val="00F95648"/>
    <w:rsid w:val="00F95F07"/>
    <w:rsid w:val="00F96DB1"/>
    <w:rsid w:val="00FA1F3A"/>
    <w:rsid w:val="00FA6565"/>
    <w:rsid w:val="00FB15C4"/>
    <w:rsid w:val="00FB20A5"/>
    <w:rsid w:val="00FB4437"/>
    <w:rsid w:val="00FB4CE2"/>
    <w:rsid w:val="00FB5707"/>
    <w:rsid w:val="00FB6E96"/>
    <w:rsid w:val="00FC104F"/>
    <w:rsid w:val="00FC272B"/>
    <w:rsid w:val="00FC423F"/>
    <w:rsid w:val="00FC5493"/>
    <w:rsid w:val="00FC6089"/>
    <w:rsid w:val="00FD0197"/>
    <w:rsid w:val="00FD038F"/>
    <w:rsid w:val="00FD2397"/>
    <w:rsid w:val="00FD3A2E"/>
    <w:rsid w:val="00FD571E"/>
    <w:rsid w:val="00FD5A5A"/>
    <w:rsid w:val="00FD6240"/>
    <w:rsid w:val="00FD6C49"/>
    <w:rsid w:val="00FD79E8"/>
    <w:rsid w:val="00FD7C67"/>
    <w:rsid w:val="00FE0AF3"/>
    <w:rsid w:val="00FE1BE5"/>
    <w:rsid w:val="00FE5AF9"/>
    <w:rsid w:val="00FE5C07"/>
    <w:rsid w:val="00FE6B8E"/>
    <w:rsid w:val="00FF0399"/>
    <w:rsid w:val="00FF13F9"/>
    <w:rsid w:val="00FF27CC"/>
    <w:rsid w:val="00FF2C54"/>
    <w:rsid w:val="00FF3294"/>
    <w:rsid w:val="00FF3C9D"/>
    <w:rsid w:val="00FF3CA6"/>
    <w:rsid w:val="00FF76E3"/>
    <w:rsid w:val="02515BFB"/>
    <w:rsid w:val="04BF358A"/>
    <w:rsid w:val="05385BF6"/>
    <w:rsid w:val="05E673D5"/>
    <w:rsid w:val="06484D30"/>
    <w:rsid w:val="08274BDD"/>
    <w:rsid w:val="0A0454E4"/>
    <w:rsid w:val="0C03291F"/>
    <w:rsid w:val="0E2A5230"/>
    <w:rsid w:val="0EC96FC6"/>
    <w:rsid w:val="10FD39C4"/>
    <w:rsid w:val="11270A41"/>
    <w:rsid w:val="12C20C34"/>
    <w:rsid w:val="1381012B"/>
    <w:rsid w:val="149326F1"/>
    <w:rsid w:val="18DD0B8B"/>
    <w:rsid w:val="18FC28D5"/>
    <w:rsid w:val="1B8A5F6D"/>
    <w:rsid w:val="1CF26BD8"/>
    <w:rsid w:val="1DD503D8"/>
    <w:rsid w:val="1E1361D3"/>
    <w:rsid w:val="20EA172D"/>
    <w:rsid w:val="21FD19A0"/>
    <w:rsid w:val="233412D9"/>
    <w:rsid w:val="240040DD"/>
    <w:rsid w:val="249A133B"/>
    <w:rsid w:val="28714C7B"/>
    <w:rsid w:val="28A1280D"/>
    <w:rsid w:val="28CE3BDE"/>
    <w:rsid w:val="2CFC0198"/>
    <w:rsid w:val="2DCA4B60"/>
    <w:rsid w:val="2FCC190C"/>
    <w:rsid w:val="3084323D"/>
    <w:rsid w:val="32C52039"/>
    <w:rsid w:val="3462130F"/>
    <w:rsid w:val="351F6237"/>
    <w:rsid w:val="3532577C"/>
    <w:rsid w:val="381C404E"/>
    <w:rsid w:val="383C4C76"/>
    <w:rsid w:val="389E2A7B"/>
    <w:rsid w:val="3EEF3457"/>
    <w:rsid w:val="407874A6"/>
    <w:rsid w:val="40957496"/>
    <w:rsid w:val="42434ED9"/>
    <w:rsid w:val="42607843"/>
    <w:rsid w:val="42AD55F7"/>
    <w:rsid w:val="42C33C42"/>
    <w:rsid w:val="459D4402"/>
    <w:rsid w:val="46FA3172"/>
    <w:rsid w:val="470310AD"/>
    <w:rsid w:val="48A82638"/>
    <w:rsid w:val="49B00543"/>
    <w:rsid w:val="4B282FF6"/>
    <w:rsid w:val="4BB17AA8"/>
    <w:rsid w:val="4BE92450"/>
    <w:rsid w:val="4C6E37DF"/>
    <w:rsid w:val="4DA609CA"/>
    <w:rsid w:val="4DDA4F7C"/>
    <w:rsid w:val="4E267DBE"/>
    <w:rsid w:val="4EDF0B56"/>
    <w:rsid w:val="4FD048C0"/>
    <w:rsid w:val="4FE91597"/>
    <w:rsid w:val="4FFB34C0"/>
    <w:rsid w:val="51036FC5"/>
    <w:rsid w:val="519662AC"/>
    <w:rsid w:val="51E11F6A"/>
    <w:rsid w:val="523A4A7F"/>
    <w:rsid w:val="53EF1090"/>
    <w:rsid w:val="578F472C"/>
    <w:rsid w:val="59684158"/>
    <w:rsid w:val="5F114F37"/>
    <w:rsid w:val="62BF388B"/>
    <w:rsid w:val="63232295"/>
    <w:rsid w:val="66270CF6"/>
    <w:rsid w:val="66276940"/>
    <w:rsid w:val="66413D6A"/>
    <w:rsid w:val="67242BCD"/>
    <w:rsid w:val="69295F61"/>
    <w:rsid w:val="69A35766"/>
    <w:rsid w:val="6D664E58"/>
    <w:rsid w:val="70100A5C"/>
    <w:rsid w:val="706202C3"/>
    <w:rsid w:val="708003C8"/>
    <w:rsid w:val="70F06AF5"/>
    <w:rsid w:val="74422B2C"/>
    <w:rsid w:val="749F1200"/>
    <w:rsid w:val="76EE1E42"/>
    <w:rsid w:val="787C4A86"/>
    <w:rsid w:val="79AA715C"/>
    <w:rsid w:val="79EE71EC"/>
    <w:rsid w:val="7A3D3E5A"/>
    <w:rsid w:val="7AF56F0F"/>
    <w:rsid w:val="7B4231CA"/>
    <w:rsid w:val="7C071BFE"/>
    <w:rsid w:val="7F161B3F"/>
    <w:rsid w:val="7FB53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qFormat/>
    <w:uiPriority w:val="9"/>
    <w:pPr>
      <w:keepNext/>
      <w:keepLines/>
      <w:spacing w:before="340" w:after="330" w:line="578" w:lineRule="auto"/>
      <w:outlineLvl w:val="0"/>
    </w:pPr>
    <w:rPr>
      <w:rFonts w:eastAsia="楷体_GB2312"/>
      <w:b/>
      <w:kern w:val="44"/>
      <w:sz w:val="44"/>
      <w:szCs w:val="20"/>
    </w:rPr>
  </w:style>
  <w:style w:type="paragraph" w:styleId="4">
    <w:name w:val="heading 2"/>
    <w:basedOn w:val="1"/>
    <w:next w:val="1"/>
    <w:link w:val="65"/>
    <w:qFormat/>
    <w:uiPriority w:val="0"/>
    <w:pPr>
      <w:keepNext/>
      <w:keepLines/>
      <w:overflowPunct w:val="0"/>
      <w:adjustRightInd w:val="0"/>
      <w:jc w:val="left"/>
      <w:textAlignment w:val="baseline"/>
      <w:outlineLvl w:val="1"/>
    </w:pPr>
    <w:rPr>
      <w:rFonts w:ascii="宋体" w:hAnsi="宋体" w:eastAsia="楷体_GB2312"/>
      <w:b/>
      <w:sz w:val="26"/>
      <w:szCs w:val="20"/>
    </w:rPr>
  </w:style>
  <w:style w:type="paragraph" w:styleId="5">
    <w:name w:val="heading 3"/>
    <w:basedOn w:val="1"/>
    <w:next w:val="1"/>
    <w:link w:val="66"/>
    <w:qFormat/>
    <w:uiPriority w:val="0"/>
    <w:pPr>
      <w:keepNext/>
      <w:keepLines/>
      <w:adjustRightInd w:val="0"/>
      <w:jc w:val="left"/>
      <w:textAlignment w:val="baseline"/>
      <w:outlineLvl w:val="2"/>
    </w:pPr>
    <w:rPr>
      <w:rFonts w:eastAsia="楷体_GB2312"/>
      <w:b/>
      <w:sz w:val="26"/>
      <w:szCs w:val="20"/>
    </w:rPr>
  </w:style>
  <w:style w:type="paragraph" w:styleId="6">
    <w:name w:val="heading 4"/>
    <w:basedOn w:val="1"/>
    <w:next w:val="1"/>
    <w:link w:val="6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8"/>
    <w:qFormat/>
    <w:uiPriority w:val="0"/>
    <w:pPr>
      <w:keepNext/>
      <w:keepLines/>
      <w:spacing w:before="280" w:after="290" w:line="376" w:lineRule="auto"/>
      <w:outlineLvl w:val="4"/>
    </w:pPr>
    <w:rPr>
      <w:rFonts w:ascii="Calibri" w:hAnsi="Calibri" w:eastAsia="仿宋"/>
      <w:b/>
      <w:bCs/>
      <w:sz w:val="28"/>
      <w:szCs w:val="28"/>
    </w:rPr>
  </w:style>
  <w:style w:type="paragraph" w:styleId="8">
    <w:name w:val="heading 6"/>
    <w:basedOn w:val="1"/>
    <w:next w:val="1"/>
    <w:link w:val="69"/>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7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
    <w:qFormat/>
    <w:uiPriority w:val="0"/>
    <w:pPr>
      <w:keepNext/>
      <w:keepLines/>
      <w:tabs>
        <w:tab w:val="left" w:pos="1584"/>
      </w:tabs>
      <w:spacing w:before="240" w:after="64" w:line="320" w:lineRule="auto"/>
      <w:ind w:left="1584" w:hanging="1584"/>
      <w:outlineLvl w:val="8"/>
    </w:pPr>
    <w:rPr>
      <w:rFonts w:ascii="Arial" w:hAnsi="Arial" w:eastAsia="黑体"/>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kern w:val="0"/>
      <w:sz w:val="18"/>
      <w:szCs w:val="18"/>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jc w:val="left"/>
    </w:pPr>
  </w:style>
  <w:style w:type="paragraph" w:styleId="14">
    <w:name w:val="List Number 2"/>
    <w:basedOn w:val="1"/>
    <w:qFormat/>
    <w:uiPriority w:val="0"/>
    <w:pPr>
      <w:tabs>
        <w:tab w:val="left" w:pos="400"/>
        <w:tab w:val="left" w:pos="840"/>
      </w:tabs>
      <w:adjustRightInd w:val="0"/>
      <w:ind w:firstLine="400"/>
      <w:jc w:val="left"/>
    </w:pPr>
    <w:rPr>
      <w:kern w:val="0"/>
    </w:rPr>
  </w:style>
  <w:style w:type="paragraph" w:styleId="15">
    <w:name w:val="List Number"/>
    <w:basedOn w:val="1"/>
    <w:link w:val="163"/>
    <w:qFormat/>
    <w:uiPriority w:val="0"/>
    <w:pPr>
      <w:widowControl/>
      <w:tabs>
        <w:tab w:val="left" w:pos="400"/>
      </w:tabs>
      <w:adjustRightInd w:val="0"/>
      <w:ind w:firstLine="400"/>
      <w:jc w:val="left"/>
    </w:pPr>
    <w:rPr>
      <w:rFonts w:ascii="宋体"/>
      <w:kern w:val="0"/>
    </w:rPr>
  </w:style>
  <w:style w:type="paragraph" w:styleId="16">
    <w:name w:val="Normal Indent"/>
    <w:basedOn w:val="1"/>
    <w:link w:val="73"/>
    <w:qFormat/>
    <w:uiPriority w:val="0"/>
    <w:pPr>
      <w:adjustRightInd w:val="0"/>
      <w:spacing w:line="360" w:lineRule="atLeast"/>
      <w:ind w:firstLine="482"/>
      <w:textAlignment w:val="baseline"/>
    </w:pPr>
    <w:rPr>
      <w:kern w:val="0"/>
      <w:sz w:val="24"/>
    </w:rPr>
  </w:style>
  <w:style w:type="paragraph" w:styleId="17">
    <w:name w:val="caption"/>
    <w:basedOn w:val="1"/>
    <w:next w:val="1"/>
    <w:qFormat/>
    <w:uiPriority w:val="0"/>
    <w:rPr>
      <w:rFonts w:ascii="Cambria" w:hAnsi="Cambria" w:eastAsia="黑体"/>
      <w:sz w:val="20"/>
      <w:szCs w:val="20"/>
    </w:rPr>
  </w:style>
  <w:style w:type="paragraph" w:styleId="18">
    <w:name w:val="List Bullet"/>
    <w:basedOn w:val="1"/>
    <w:qFormat/>
    <w:uiPriority w:val="0"/>
    <w:pPr>
      <w:widowControl/>
      <w:tabs>
        <w:tab w:val="left" w:pos="480"/>
        <w:tab w:val="left" w:pos="720"/>
        <w:tab w:val="left" w:pos="900"/>
      </w:tabs>
      <w:spacing w:line="360" w:lineRule="auto"/>
      <w:ind w:left="480" w:hanging="480"/>
    </w:pPr>
    <w:rPr>
      <w:rFonts w:ascii="Arial" w:hAnsi="Arial"/>
      <w:kern w:val="0"/>
      <w:lang w:val="en-GB"/>
    </w:rPr>
  </w:style>
  <w:style w:type="paragraph" w:styleId="19">
    <w:name w:val="Document Map"/>
    <w:basedOn w:val="1"/>
    <w:link w:val="222"/>
    <w:qFormat/>
    <w:uiPriority w:val="0"/>
    <w:pPr>
      <w:shd w:val="clear" w:color="auto" w:fill="000080"/>
    </w:pPr>
  </w:style>
  <w:style w:type="paragraph" w:styleId="20">
    <w:name w:val="toa heading"/>
    <w:basedOn w:val="1"/>
    <w:next w:val="1"/>
    <w:qFormat/>
    <w:uiPriority w:val="0"/>
    <w:pPr>
      <w:adjustRightInd w:val="0"/>
      <w:spacing w:before="120" w:line="312" w:lineRule="atLeast"/>
      <w:textAlignment w:val="baseline"/>
    </w:pPr>
    <w:rPr>
      <w:rFonts w:ascii="Arial" w:hAnsi="Arial"/>
      <w:b/>
      <w:kern w:val="0"/>
      <w:sz w:val="24"/>
      <w:szCs w:val="24"/>
    </w:rPr>
  </w:style>
  <w:style w:type="paragraph" w:styleId="21">
    <w:name w:val="annotation text"/>
    <w:basedOn w:val="1"/>
    <w:link w:val="218"/>
    <w:unhideWhenUsed/>
    <w:qFormat/>
    <w:uiPriority w:val="0"/>
    <w:pPr>
      <w:jc w:val="left"/>
    </w:pPr>
  </w:style>
  <w:style w:type="paragraph" w:styleId="22">
    <w:name w:val="Body Text 3"/>
    <w:basedOn w:val="1"/>
    <w:link w:val="232"/>
    <w:qFormat/>
    <w:uiPriority w:val="0"/>
    <w:rPr>
      <w:rFonts w:ascii="仿宋_GB2312" w:hAnsi="Arial" w:eastAsia="仿宋_GB2312"/>
      <w:sz w:val="32"/>
      <w:szCs w:val="32"/>
    </w:rPr>
  </w:style>
  <w:style w:type="paragraph" w:styleId="23">
    <w:name w:val="Body Text"/>
    <w:basedOn w:val="1"/>
    <w:link w:val="221"/>
    <w:qFormat/>
    <w:uiPriority w:val="0"/>
    <w:rPr>
      <w:rFonts w:ascii="楷体_GB2312" w:hAnsi="Arial" w:eastAsia="楷体_GB2312"/>
      <w:sz w:val="28"/>
      <w:szCs w:val="28"/>
    </w:rPr>
  </w:style>
  <w:style w:type="paragraph" w:styleId="24">
    <w:name w:val="Body Text Indent"/>
    <w:basedOn w:val="1"/>
    <w:next w:val="25"/>
    <w:link w:val="224"/>
    <w:unhideWhenUsed/>
    <w:qFormat/>
    <w:uiPriority w:val="0"/>
    <w:pPr>
      <w:spacing w:after="120"/>
      <w:ind w:left="420" w:leftChars="200"/>
    </w:pPr>
  </w:style>
  <w:style w:type="paragraph" w:styleId="25">
    <w:name w:val="envelope return"/>
    <w:basedOn w:val="1"/>
    <w:qFormat/>
    <w:uiPriority w:val="99"/>
    <w:pPr>
      <w:snapToGrid w:val="0"/>
    </w:pPr>
    <w:rPr>
      <w:rFonts w:ascii="Arial" w:hAnsi="Arial"/>
    </w:rPr>
  </w:style>
  <w:style w:type="paragraph" w:styleId="26">
    <w:name w:val="List Number 3"/>
    <w:basedOn w:val="1"/>
    <w:qFormat/>
    <w:uiPriority w:val="0"/>
    <w:pPr>
      <w:widowControl/>
      <w:tabs>
        <w:tab w:val="left" w:pos="400"/>
        <w:tab w:val="left" w:pos="1260"/>
      </w:tabs>
      <w:ind w:firstLine="400"/>
      <w:jc w:val="left"/>
    </w:pPr>
    <w:rPr>
      <w:rFonts w:ascii="宋体"/>
      <w:kern w:val="0"/>
    </w:rPr>
  </w:style>
  <w:style w:type="paragraph" w:styleId="27">
    <w:name w:val="List 2"/>
    <w:basedOn w:val="1"/>
    <w:qFormat/>
    <w:uiPriority w:val="0"/>
    <w:pPr>
      <w:ind w:left="100" w:leftChars="200" w:hanging="200" w:hangingChars="200"/>
    </w:pPr>
  </w:style>
  <w:style w:type="paragraph" w:styleId="28">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9">
    <w:name w:val="List Bullet 2"/>
    <w:basedOn w:val="1"/>
    <w:qFormat/>
    <w:uiPriority w:val="0"/>
    <w:pPr>
      <w:numPr>
        <w:ilvl w:val="0"/>
        <w:numId w:val="1"/>
      </w:numPr>
      <w:tabs>
        <w:tab w:val="left" w:pos="780"/>
      </w:tabs>
      <w:contextualSpacing/>
    </w:pPr>
    <w:rPr>
      <w:szCs w:val="24"/>
    </w:rPr>
  </w:style>
  <w:style w:type="paragraph" w:styleId="30">
    <w:name w:val="toc 5"/>
    <w:basedOn w:val="1"/>
    <w:next w:val="1"/>
    <w:qFormat/>
    <w:uiPriority w:val="39"/>
    <w:pPr>
      <w:ind w:left="840"/>
      <w:jc w:val="left"/>
    </w:pPr>
  </w:style>
  <w:style w:type="paragraph" w:styleId="31">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32">
    <w:name w:val="Plain Text"/>
    <w:basedOn w:val="1"/>
    <w:link w:val="83"/>
    <w:qFormat/>
    <w:uiPriority w:val="0"/>
    <w:rPr>
      <w:rFonts w:ascii="宋体" w:hAnsi="Courier New" w:cs="Courier New"/>
    </w:rPr>
  </w:style>
  <w:style w:type="paragraph" w:styleId="33">
    <w:name w:val="toc 8"/>
    <w:basedOn w:val="1"/>
    <w:next w:val="1"/>
    <w:qFormat/>
    <w:uiPriority w:val="39"/>
    <w:pPr>
      <w:ind w:left="1470"/>
      <w:jc w:val="left"/>
    </w:pPr>
  </w:style>
  <w:style w:type="paragraph" w:styleId="34">
    <w:name w:val="Date"/>
    <w:basedOn w:val="1"/>
    <w:next w:val="1"/>
    <w:link w:val="223"/>
    <w:qFormat/>
    <w:uiPriority w:val="0"/>
    <w:rPr>
      <w:sz w:val="24"/>
      <w:szCs w:val="24"/>
    </w:rPr>
  </w:style>
  <w:style w:type="paragraph" w:styleId="35">
    <w:name w:val="Body Text Indent 2"/>
    <w:basedOn w:val="1"/>
    <w:link w:val="231"/>
    <w:qFormat/>
    <w:uiPriority w:val="0"/>
    <w:pPr>
      <w:ind w:left="630" w:firstLine="645"/>
    </w:pPr>
    <w:rPr>
      <w:rFonts w:ascii="Arial" w:hAnsi="Arial" w:eastAsia="仿宋_GB2312" w:cs="Arial"/>
      <w:sz w:val="32"/>
      <w:szCs w:val="32"/>
    </w:rPr>
  </w:style>
  <w:style w:type="paragraph" w:styleId="36">
    <w:name w:val="Balloon Text"/>
    <w:basedOn w:val="1"/>
    <w:link w:val="217"/>
    <w:qFormat/>
    <w:uiPriority w:val="0"/>
    <w:rPr>
      <w:sz w:val="18"/>
      <w:szCs w:val="18"/>
    </w:rPr>
  </w:style>
  <w:style w:type="paragraph" w:styleId="37">
    <w:name w:val="footer"/>
    <w:basedOn w:val="1"/>
    <w:link w:val="81"/>
    <w:unhideWhenUsed/>
    <w:qFormat/>
    <w:uiPriority w:val="99"/>
    <w:pPr>
      <w:tabs>
        <w:tab w:val="center" w:pos="4153"/>
        <w:tab w:val="right" w:pos="8306"/>
      </w:tabs>
      <w:snapToGrid w:val="0"/>
      <w:jc w:val="left"/>
    </w:pPr>
    <w:rPr>
      <w:sz w:val="18"/>
      <w:szCs w:val="18"/>
    </w:rPr>
  </w:style>
  <w:style w:type="paragraph" w:styleId="38">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link w:val="109"/>
    <w:qFormat/>
    <w:uiPriority w:val="0"/>
    <w:pPr>
      <w:spacing w:before="360"/>
      <w:jc w:val="left"/>
    </w:pPr>
    <w:rPr>
      <w:rFonts w:ascii="Arial" w:hAnsi="Arial" w:cs="Arial"/>
      <w:b/>
      <w:bCs/>
      <w:caps/>
      <w:sz w:val="24"/>
    </w:rPr>
  </w:style>
  <w:style w:type="paragraph" w:styleId="40">
    <w:name w:val="toc 4"/>
    <w:basedOn w:val="1"/>
    <w:next w:val="1"/>
    <w:qFormat/>
    <w:uiPriority w:val="39"/>
    <w:pPr>
      <w:ind w:left="630"/>
      <w:jc w:val="left"/>
    </w:pPr>
  </w:style>
  <w:style w:type="paragraph" w:styleId="41">
    <w:name w:val="Subtitle"/>
    <w:basedOn w:val="1"/>
    <w:next w:val="1"/>
    <w:link w:val="230"/>
    <w:qFormat/>
    <w:uiPriority w:val="11"/>
    <w:pPr>
      <w:widowControl/>
      <w:spacing w:after="600" w:line="276" w:lineRule="auto"/>
      <w:jc w:val="left"/>
    </w:pPr>
    <w:rPr>
      <w:rFonts w:ascii="Cambria" w:hAnsi="Cambria"/>
      <w:i/>
      <w:iCs/>
      <w:spacing w:val="13"/>
      <w:kern w:val="0"/>
      <w:sz w:val="24"/>
      <w:szCs w:val="24"/>
      <w:lang w:eastAsia="en-US" w:bidi="en-US"/>
    </w:rPr>
  </w:style>
  <w:style w:type="paragraph" w:styleId="42">
    <w:name w:val="List"/>
    <w:basedOn w:val="1"/>
    <w:qFormat/>
    <w:uiPriority w:val="0"/>
    <w:pPr>
      <w:ind w:left="200" w:hanging="200" w:hangingChars="200"/>
    </w:pPr>
  </w:style>
  <w:style w:type="paragraph" w:styleId="43">
    <w:name w:val="toc 6"/>
    <w:basedOn w:val="1"/>
    <w:next w:val="1"/>
    <w:qFormat/>
    <w:uiPriority w:val="39"/>
    <w:pPr>
      <w:ind w:left="1050"/>
      <w:jc w:val="left"/>
    </w:pPr>
  </w:style>
  <w:style w:type="paragraph" w:styleId="44">
    <w:name w:val="Body Text Indent 3"/>
    <w:basedOn w:val="1"/>
    <w:link w:val="220"/>
    <w:qFormat/>
    <w:uiPriority w:val="0"/>
    <w:pPr>
      <w:ind w:left="645" w:firstLine="645"/>
    </w:pPr>
    <w:rPr>
      <w:rFonts w:ascii="Arial" w:hAnsi="Arial" w:eastAsia="仿宋_GB2312" w:cs="Arial"/>
      <w:color w:val="FFFF00"/>
      <w:sz w:val="32"/>
      <w:szCs w:val="32"/>
    </w:rPr>
  </w:style>
  <w:style w:type="paragraph" w:styleId="45">
    <w:name w:val="table of figures"/>
    <w:basedOn w:val="1"/>
    <w:next w:val="1"/>
    <w:semiHidden/>
    <w:qFormat/>
    <w:uiPriority w:val="0"/>
    <w:pPr>
      <w:ind w:left="840" w:hanging="420"/>
    </w:pPr>
  </w:style>
  <w:style w:type="paragraph" w:styleId="46">
    <w:name w:val="toc 2"/>
    <w:basedOn w:val="1"/>
    <w:next w:val="1"/>
    <w:qFormat/>
    <w:uiPriority w:val="0"/>
    <w:pPr>
      <w:spacing w:before="240"/>
      <w:jc w:val="left"/>
    </w:pPr>
    <w:rPr>
      <w:b/>
      <w:bCs/>
      <w:sz w:val="20"/>
      <w:szCs w:val="20"/>
    </w:rPr>
  </w:style>
  <w:style w:type="paragraph" w:styleId="47">
    <w:name w:val="toc 9"/>
    <w:basedOn w:val="1"/>
    <w:next w:val="1"/>
    <w:qFormat/>
    <w:uiPriority w:val="39"/>
    <w:pPr>
      <w:ind w:left="1680"/>
      <w:jc w:val="left"/>
    </w:pPr>
  </w:style>
  <w:style w:type="paragraph" w:styleId="48">
    <w:name w:val="Body Text 2"/>
    <w:basedOn w:val="1"/>
    <w:link w:val="229"/>
    <w:qFormat/>
    <w:uiPriority w:val="0"/>
    <w:pPr>
      <w:widowControl/>
      <w:jc w:val="center"/>
    </w:pPr>
    <w:rPr>
      <w:rFonts w:ascii="楷体_GB2312" w:eastAsia="楷体_GB2312"/>
      <w:sz w:val="28"/>
      <w:szCs w:val="28"/>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0">
    <w:name w:val="index 1"/>
    <w:basedOn w:val="1"/>
    <w:next w:val="1"/>
    <w:semiHidden/>
    <w:qFormat/>
    <w:uiPriority w:val="0"/>
    <w:pPr>
      <w:spacing w:line="240" w:lineRule="atLeast"/>
    </w:pPr>
    <w:rPr>
      <w:b/>
      <w:bCs/>
    </w:rPr>
  </w:style>
  <w:style w:type="paragraph" w:styleId="51">
    <w:name w:val="Title"/>
    <w:basedOn w:val="1"/>
    <w:next w:val="1"/>
    <w:link w:val="74"/>
    <w:qFormat/>
    <w:uiPriority w:val="0"/>
    <w:pPr>
      <w:spacing w:before="240" w:after="60"/>
      <w:jc w:val="center"/>
      <w:outlineLvl w:val="0"/>
    </w:pPr>
    <w:rPr>
      <w:rFonts w:ascii="Cambria" w:hAnsi="Cambria"/>
      <w:b/>
      <w:bCs/>
      <w:sz w:val="32"/>
      <w:szCs w:val="32"/>
    </w:rPr>
  </w:style>
  <w:style w:type="paragraph" w:styleId="52">
    <w:name w:val="annotation subject"/>
    <w:basedOn w:val="21"/>
    <w:next w:val="21"/>
    <w:link w:val="219"/>
    <w:qFormat/>
    <w:uiPriority w:val="0"/>
    <w:rPr>
      <w:b/>
      <w:bCs/>
    </w:rPr>
  </w:style>
  <w:style w:type="paragraph" w:styleId="53">
    <w:name w:val="Body Text First Indent"/>
    <w:basedOn w:val="1"/>
    <w:link w:val="228"/>
    <w:qFormat/>
    <w:uiPriority w:val="0"/>
    <w:pPr>
      <w:spacing w:line="360" w:lineRule="auto"/>
      <w:ind w:firstLine="200" w:firstLineChars="200"/>
    </w:pPr>
    <w:rPr>
      <w:rFonts w:ascii="仿宋_GB2312" w:eastAsia="仿宋_GB2312"/>
      <w:sz w:val="30"/>
      <w:szCs w:val="30"/>
    </w:rPr>
  </w:style>
  <w:style w:type="paragraph" w:styleId="54">
    <w:name w:val="Body Text First Indent 2"/>
    <w:basedOn w:val="24"/>
    <w:link w:val="225"/>
    <w:qFormat/>
    <w:uiPriority w:val="0"/>
    <w:pPr>
      <w:spacing w:after="0" w:line="360" w:lineRule="auto"/>
      <w:ind w:left="0" w:leftChars="0" w:firstLine="420" w:firstLineChars="200"/>
    </w:pPr>
    <w:rPr>
      <w:rFonts w:ascii="宋体" w:hAnsi="宋体"/>
      <w:szCs w:val="20"/>
    </w:rPr>
  </w:style>
  <w:style w:type="table" w:styleId="56">
    <w:name w:val="Table Grid"/>
    <w:basedOn w:val="5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qFormat/>
    <w:uiPriority w:val="99"/>
    <w:rPr>
      <w:color w:val="800080"/>
      <w:u w:val="single"/>
    </w:rPr>
  </w:style>
  <w:style w:type="character" w:styleId="61">
    <w:name w:val="Emphasis"/>
    <w:qFormat/>
    <w:uiPriority w:val="0"/>
    <w:rPr>
      <w:rFonts w:ascii="Arial" w:hAnsi="Arial"/>
      <w:b/>
      <w:spacing w:val="-10"/>
      <w:sz w:val="18"/>
      <w:lang w:eastAsia="zh-CN"/>
    </w:rPr>
  </w:style>
  <w:style w:type="character" w:styleId="62">
    <w:name w:val="Hyperlink"/>
    <w:qFormat/>
    <w:uiPriority w:val="99"/>
    <w:rPr>
      <w:color w:val="0000FF"/>
      <w:u w:val="single"/>
    </w:rPr>
  </w:style>
  <w:style w:type="character" w:styleId="63">
    <w:name w:val="annotation reference"/>
    <w:qFormat/>
    <w:uiPriority w:val="0"/>
    <w:rPr>
      <w:sz w:val="21"/>
      <w:szCs w:val="21"/>
    </w:rPr>
  </w:style>
  <w:style w:type="character" w:customStyle="1" w:styleId="64">
    <w:name w:val="标题 1 Char"/>
    <w:basedOn w:val="57"/>
    <w:link w:val="3"/>
    <w:qFormat/>
    <w:uiPriority w:val="9"/>
    <w:rPr>
      <w:rFonts w:eastAsia="楷体_GB2312"/>
      <w:b/>
      <w:kern w:val="44"/>
      <w:sz w:val="44"/>
    </w:rPr>
  </w:style>
  <w:style w:type="character" w:customStyle="1" w:styleId="65">
    <w:name w:val="标题 2 Char"/>
    <w:basedOn w:val="57"/>
    <w:link w:val="4"/>
    <w:qFormat/>
    <w:uiPriority w:val="0"/>
    <w:rPr>
      <w:rFonts w:ascii="宋体" w:hAnsi="宋体" w:eastAsia="楷体_GB2312"/>
      <w:b/>
      <w:kern w:val="2"/>
      <w:sz w:val="26"/>
    </w:rPr>
  </w:style>
  <w:style w:type="character" w:customStyle="1" w:styleId="66">
    <w:name w:val="标题 3 Char"/>
    <w:basedOn w:val="57"/>
    <w:link w:val="5"/>
    <w:qFormat/>
    <w:uiPriority w:val="0"/>
    <w:rPr>
      <w:rFonts w:eastAsia="楷体_GB2312"/>
      <w:b/>
      <w:kern w:val="2"/>
      <w:sz w:val="26"/>
    </w:rPr>
  </w:style>
  <w:style w:type="character" w:customStyle="1" w:styleId="67">
    <w:name w:val="标题 4 Char"/>
    <w:basedOn w:val="57"/>
    <w:link w:val="6"/>
    <w:qFormat/>
    <w:uiPriority w:val="0"/>
    <w:rPr>
      <w:rFonts w:ascii="Arial" w:hAnsi="Arial" w:eastAsia="黑体"/>
      <w:b/>
      <w:bCs/>
      <w:kern w:val="2"/>
      <w:sz w:val="28"/>
      <w:szCs w:val="28"/>
    </w:rPr>
  </w:style>
  <w:style w:type="character" w:customStyle="1" w:styleId="68">
    <w:name w:val="标题 5 Char"/>
    <w:basedOn w:val="57"/>
    <w:link w:val="7"/>
    <w:qFormat/>
    <w:uiPriority w:val="0"/>
    <w:rPr>
      <w:rFonts w:ascii="Calibri" w:hAnsi="Calibri" w:eastAsia="仿宋"/>
      <w:b/>
      <w:bCs/>
      <w:kern w:val="2"/>
      <w:sz w:val="28"/>
      <w:szCs w:val="28"/>
    </w:rPr>
  </w:style>
  <w:style w:type="character" w:customStyle="1" w:styleId="69">
    <w:name w:val="标题 6 Char"/>
    <w:basedOn w:val="57"/>
    <w:link w:val="8"/>
    <w:qFormat/>
    <w:uiPriority w:val="0"/>
    <w:rPr>
      <w:rFonts w:ascii="Arial" w:hAnsi="Arial" w:eastAsia="黑体"/>
      <w:b/>
      <w:bCs/>
      <w:kern w:val="2"/>
      <w:sz w:val="24"/>
      <w:szCs w:val="24"/>
    </w:rPr>
  </w:style>
  <w:style w:type="character" w:customStyle="1" w:styleId="70">
    <w:name w:val="标题 7 Char"/>
    <w:basedOn w:val="57"/>
    <w:link w:val="9"/>
    <w:qFormat/>
    <w:uiPriority w:val="0"/>
    <w:rPr>
      <w:b/>
      <w:bCs/>
      <w:kern w:val="2"/>
      <w:sz w:val="24"/>
      <w:szCs w:val="24"/>
    </w:rPr>
  </w:style>
  <w:style w:type="character" w:customStyle="1" w:styleId="71">
    <w:name w:val="标题 8 Char"/>
    <w:basedOn w:val="57"/>
    <w:link w:val="10"/>
    <w:qFormat/>
    <w:uiPriority w:val="0"/>
    <w:rPr>
      <w:rFonts w:ascii="Arial" w:hAnsi="Arial" w:eastAsia="黑体"/>
      <w:kern w:val="2"/>
      <w:sz w:val="24"/>
      <w:szCs w:val="24"/>
    </w:rPr>
  </w:style>
  <w:style w:type="character" w:customStyle="1" w:styleId="72">
    <w:name w:val="标题 9 Char"/>
    <w:basedOn w:val="57"/>
    <w:link w:val="11"/>
    <w:qFormat/>
    <w:uiPriority w:val="0"/>
    <w:rPr>
      <w:rFonts w:ascii="Arial" w:hAnsi="Arial" w:eastAsia="黑体"/>
      <w:kern w:val="2"/>
      <w:sz w:val="21"/>
      <w:szCs w:val="21"/>
    </w:rPr>
  </w:style>
  <w:style w:type="character" w:customStyle="1" w:styleId="73">
    <w:name w:val="正文缩进 Char"/>
    <w:link w:val="16"/>
    <w:qFormat/>
    <w:uiPriority w:val="0"/>
    <w:rPr>
      <w:sz w:val="24"/>
      <w:szCs w:val="24"/>
    </w:rPr>
  </w:style>
  <w:style w:type="character" w:customStyle="1" w:styleId="74">
    <w:name w:val="标题 Char"/>
    <w:basedOn w:val="57"/>
    <w:link w:val="51"/>
    <w:qFormat/>
    <w:uiPriority w:val="0"/>
    <w:rPr>
      <w:rFonts w:ascii="Cambria" w:hAnsi="Cambria"/>
      <w:b/>
      <w:bCs/>
      <w:kern w:val="2"/>
      <w:sz w:val="32"/>
      <w:szCs w:val="32"/>
    </w:rPr>
  </w:style>
  <w:style w:type="paragraph" w:styleId="75">
    <w:name w:val="No Spacing"/>
    <w:link w:val="76"/>
    <w:qFormat/>
    <w:uiPriority w:val="0"/>
    <w:rPr>
      <w:rFonts w:ascii="Calibri" w:hAnsi="Calibri" w:eastAsia="宋体" w:cs="Times New Roman"/>
      <w:sz w:val="22"/>
      <w:szCs w:val="22"/>
      <w:lang w:val="en-US" w:eastAsia="zh-CN" w:bidi="ar-SA"/>
    </w:rPr>
  </w:style>
  <w:style w:type="character" w:customStyle="1" w:styleId="76">
    <w:name w:val="无间隔 Char"/>
    <w:basedOn w:val="57"/>
    <w:link w:val="75"/>
    <w:qFormat/>
    <w:uiPriority w:val="0"/>
    <w:rPr>
      <w:rFonts w:ascii="Calibri" w:hAnsi="Calibri"/>
      <w:sz w:val="22"/>
      <w:szCs w:val="22"/>
    </w:rPr>
  </w:style>
  <w:style w:type="paragraph" w:styleId="77">
    <w:name w:val="List Paragraph"/>
    <w:basedOn w:val="1"/>
    <w:qFormat/>
    <w:uiPriority w:val="99"/>
    <w:pPr>
      <w:ind w:firstLine="420" w:firstLineChars="200"/>
    </w:pPr>
    <w:rPr>
      <w:rFonts w:ascii="Calibri" w:hAnsi="Calibri"/>
      <w:szCs w:val="22"/>
    </w:rPr>
  </w:style>
  <w:style w:type="paragraph" w:customStyle="1" w:styleId="78">
    <w:name w:val="TOC 标题1"/>
    <w:basedOn w:val="3"/>
    <w:next w:val="1"/>
    <w:qFormat/>
    <w:uiPriority w:val="0"/>
    <w:pPr>
      <w:widowControl/>
      <w:spacing w:before="480" w:after="0" w:line="276" w:lineRule="auto"/>
      <w:jc w:val="left"/>
      <w:outlineLvl w:val="9"/>
    </w:pPr>
    <w:rPr>
      <w:rFonts w:ascii="Cambria" w:hAnsi="Cambria" w:eastAsia="宋体"/>
      <w:bCs/>
      <w:color w:val="365F91"/>
      <w:kern w:val="0"/>
      <w:sz w:val="28"/>
      <w:szCs w:val="28"/>
    </w:rPr>
  </w:style>
  <w:style w:type="paragraph" w:customStyle="1" w:styleId="79">
    <w:name w:val="列出段落3"/>
    <w:basedOn w:val="1"/>
    <w:qFormat/>
    <w:uiPriority w:val="0"/>
    <w:pPr>
      <w:ind w:firstLine="420" w:firstLineChars="200"/>
    </w:pPr>
    <w:rPr>
      <w:rFonts w:ascii="Calibri" w:hAnsi="Calibri"/>
      <w:kern w:val="0"/>
      <w:sz w:val="20"/>
      <w:szCs w:val="20"/>
    </w:rPr>
  </w:style>
  <w:style w:type="character" w:customStyle="1" w:styleId="80">
    <w:name w:val="页眉 Char"/>
    <w:basedOn w:val="57"/>
    <w:link w:val="38"/>
    <w:qFormat/>
    <w:uiPriority w:val="0"/>
    <w:rPr>
      <w:kern w:val="2"/>
      <w:sz w:val="18"/>
      <w:szCs w:val="18"/>
    </w:rPr>
  </w:style>
  <w:style w:type="character" w:customStyle="1" w:styleId="81">
    <w:name w:val="页脚 Char"/>
    <w:basedOn w:val="57"/>
    <w:link w:val="37"/>
    <w:qFormat/>
    <w:uiPriority w:val="99"/>
    <w:rPr>
      <w:kern w:val="2"/>
      <w:sz w:val="18"/>
      <w:szCs w:val="18"/>
    </w:rPr>
  </w:style>
  <w:style w:type="character" w:customStyle="1" w:styleId="82">
    <w:name w:val="书籍标题1"/>
    <w:qFormat/>
    <w:uiPriority w:val="0"/>
    <w:rPr>
      <w:i/>
      <w:iCs/>
      <w:smallCaps/>
      <w:spacing w:val="5"/>
    </w:rPr>
  </w:style>
  <w:style w:type="character" w:customStyle="1" w:styleId="83">
    <w:name w:val="纯文本 Char"/>
    <w:link w:val="32"/>
    <w:qFormat/>
    <w:uiPriority w:val="0"/>
    <w:rPr>
      <w:rFonts w:ascii="宋体" w:hAnsi="Courier New" w:cs="Courier New"/>
      <w:kern w:val="2"/>
      <w:sz w:val="21"/>
      <w:szCs w:val="21"/>
    </w:rPr>
  </w:style>
  <w:style w:type="character" w:customStyle="1" w:styleId="84">
    <w:name w:val="日期 Char"/>
    <w:qFormat/>
    <w:uiPriority w:val="0"/>
    <w:rPr>
      <w:kern w:val="2"/>
      <w:sz w:val="24"/>
      <w:szCs w:val="24"/>
    </w:rPr>
  </w:style>
  <w:style w:type="character" w:customStyle="1" w:styleId="85">
    <w:name w:val="二级目录 Char"/>
    <w:link w:val="86"/>
    <w:qFormat/>
    <w:uiPriority w:val="0"/>
    <w:rPr>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87">
    <w:name w:val="Char Char"/>
    <w:qFormat/>
    <w:uiPriority w:val="0"/>
    <w:rPr>
      <w:rFonts w:ascii="Times New Roman" w:hAnsi="Times New Roman" w:eastAsia="宋体"/>
      <w:kern w:val="2"/>
      <w:sz w:val="21"/>
      <w:szCs w:val="22"/>
      <w:lang w:val="en-US" w:eastAsia="zh-CN" w:bidi="ar-SA"/>
    </w:rPr>
  </w:style>
  <w:style w:type="character" w:customStyle="1" w:styleId="88">
    <w:name w:val="rainbow_normallink"/>
    <w:qFormat/>
    <w:uiPriority w:val="0"/>
  </w:style>
  <w:style w:type="character" w:customStyle="1" w:styleId="89">
    <w:name w:val="a0031"/>
    <w:qFormat/>
    <w:uiPriority w:val="0"/>
    <w:rPr>
      <w:rFonts w:hint="default" w:ascii="ˎ̥" w:hAnsi="ˎ̥"/>
      <w:color w:val="000000"/>
      <w:sz w:val="18"/>
      <w:szCs w:val="18"/>
    </w:rPr>
  </w:style>
  <w:style w:type="character" w:customStyle="1" w:styleId="90">
    <w:name w:val="正文首行缩进 Char Char Char Char Char Char Char Char Char Char Char Char Char Char Char Char Char Char Char Char Char"/>
    <w:qFormat/>
    <w:uiPriority w:val="0"/>
    <w:rPr>
      <w:rFonts w:ascii="Arial" w:hAnsi="Arial" w:eastAsia="宋体" w:cs="Arial"/>
      <w:sz w:val="21"/>
      <w:szCs w:val="21"/>
      <w:lang w:val="en-US" w:eastAsia="zh-CN" w:bidi="ar-SA"/>
    </w:rPr>
  </w:style>
  <w:style w:type="character" w:customStyle="1" w:styleId="91">
    <w:name w:val="批注主题 Char"/>
    <w:qFormat/>
    <w:uiPriority w:val="0"/>
    <w:rPr>
      <w:b/>
      <w:bCs/>
      <w:kern w:val="2"/>
      <w:sz w:val="21"/>
      <w:szCs w:val="21"/>
    </w:rPr>
  </w:style>
  <w:style w:type="character" w:customStyle="1" w:styleId="92">
    <w:name w:val="页眉 Char1"/>
    <w:semiHidden/>
    <w:qFormat/>
    <w:uiPriority w:val="99"/>
    <w:rPr>
      <w:rFonts w:ascii="Times New Roman" w:hAnsi="Times New Roman" w:eastAsia="宋体" w:cs="Times New Roman"/>
      <w:sz w:val="18"/>
      <w:szCs w:val="18"/>
    </w:rPr>
  </w:style>
  <w:style w:type="character" w:customStyle="1" w:styleId="93">
    <w:name w:val="正文文本缩进 2 Char1"/>
    <w:semiHidden/>
    <w:qFormat/>
    <w:uiPriority w:val="99"/>
    <w:rPr>
      <w:rFonts w:ascii="Times New Roman" w:hAnsi="Times New Roman" w:eastAsia="宋体" w:cs="Times New Roman"/>
      <w:szCs w:val="24"/>
    </w:rPr>
  </w:style>
  <w:style w:type="character" w:customStyle="1" w:styleId="94">
    <w:name w:val="Item List Char"/>
    <w:link w:val="95"/>
    <w:qFormat/>
    <w:uiPriority w:val="0"/>
    <w:rPr>
      <w:rFonts w:ascii="Arial" w:hAnsi="Arial"/>
      <w:sz w:val="21"/>
      <w:szCs w:val="21"/>
    </w:rPr>
  </w:style>
  <w:style w:type="paragraph" w:customStyle="1" w:styleId="95">
    <w:name w:val="Item List"/>
    <w:link w:val="94"/>
    <w:qFormat/>
    <w:uiPriority w:val="0"/>
    <w:pPr>
      <w:numPr>
        <w:ilvl w:val="0"/>
        <w:numId w:val="2"/>
      </w:numPr>
      <w:tabs>
        <w:tab w:val="left" w:pos="360"/>
      </w:tabs>
      <w:spacing w:line="300" w:lineRule="auto"/>
      <w:ind w:left="0" w:firstLine="0"/>
      <w:jc w:val="both"/>
    </w:pPr>
    <w:rPr>
      <w:rFonts w:ascii="Arial" w:hAnsi="Arial" w:eastAsia="宋体" w:cs="Times New Roman"/>
      <w:sz w:val="21"/>
      <w:szCs w:val="21"/>
      <w:lang w:val="en-US" w:eastAsia="zh-CN" w:bidi="ar-SA"/>
    </w:rPr>
  </w:style>
  <w:style w:type="character" w:customStyle="1" w:styleId="96">
    <w:name w:val="Figure Description Char"/>
    <w:link w:val="97"/>
    <w:qFormat/>
    <w:uiPriority w:val="0"/>
    <w:rPr>
      <w:rFonts w:ascii="Arial" w:hAnsi="Arial" w:eastAsia="黑体"/>
      <w:sz w:val="18"/>
      <w:szCs w:val="18"/>
    </w:rPr>
  </w:style>
  <w:style w:type="paragraph" w:customStyle="1" w:styleId="97">
    <w:name w:val="Figure Description"/>
    <w:next w:val="1"/>
    <w:link w:val="96"/>
    <w:qFormat/>
    <w:uiPriority w:val="0"/>
    <w:pPr>
      <w:snapToGrid w:val="0"/>
      <w:spacing w:before="80" w:after="320"/>
      <w:ind w:left="1134"/>
      <w:jc w:val="center"/>
    </w:pPr>
    <w:rPr>
      <w:rFonts w:ascii="Arial" w:hAnsi="Arial" w:eastAsia="黑体" w:cs="Times New Roman"/>
      <w:sz w:val="18"/>
      <w:szCs w:val="18"/>
      <w:lang w:val="en-US" w:eastAsia="zh-CN" w:bidi="ar-SA"/>
    </w:rPr>
  </w:style>
  <w:style w:type="character" w:customStyle="1" w:styleId="98">
    <w:name w:val="五级标题 Char"/>
    <w:link w:val="99"/>
    <w:qFormat/>
    <w:uiPriority w:val="0"/>
    <w:rPr>
      <w:rFonts w:ascii="Calibri" w:hAnsi="Calibri"/>
      <w:b/>
      <w:kern w:val="2"/>
      <w:sz w:val="24"/>
      <w:szCs w:val="22"/>
    </w:rPr>
  </w:style>
  <w:style w:type="paragraph" w:customStyle="1" w:styleId="99">
    <w:name w:val="五级标题"/>
    <w:basedOn w:val="1"/>
    <w:link w:val="98"/>
    <w:qFormat/>
    <w:uiPriority w:val="0"/>
    <w:pPr>
      <w:spacing w:line="360" w:lineRule="auto"/>
    </w:pPr>
    <w:rPr>
      <w:rFonts w:ascii="Calibri" w:hAnsi="Calibri"/>
      <w:b/>
      <w:sz w:val="24"/>
      <w:szCs w:val="22"/>
    </w:rPr>
  </w:style>
  <w:style w:type="character" w:customStyle="1" w:styleId="100">
    <w:name w:val="style251"/>
    <w:qFormat/>
    <w:uiPriority w:val="0"/>
    <w:rPr>
      <w:sz w:val="20"/>
      <w:szCs w:val="20"/>
    </w:rPr>
  </w:style>
  <w:style w:type="character" w:customStyle="1" w:styleId="101">
    <w:name w:val="ssss Char1"/>
    <w:link w:val="102"/>
    <w:qFormat/>
    <w:uiPriority w:val="0"/>
    <w:rPr>
      <w:kern w:val="2"/>
      <w:sz w:val="24"/>
      <w:szCs w:val="24"/>
    </w:rPr>
  </w:style>
  <w:style w:type="paragraph" w:customStyle="1" w:styleId="102">
    <w:name w:val="ssss"/>
    <w:basedOn w:val="1"/>
    <w:link w:val="101"/>
    <w:qFormat/>
    <w:uiPriority w:val="0"/>
    <w:pPr>
      <w:spacing w:line="360" w:lineRule="auto"/>
      <w:ind w:firstLine="480" w:firstLineChars="200"/>
    </w:pPr>
    <w:rPr>
      <w:sz w:val="24"/>
      <w:szCs w:val="24"/>
    </w:rPr>
  </w:style>
  <w:style w:type="character" w:customStyle="1" w:styleId="103">
    <w:name w:val="Char Char38"/>
    <w:qFormat/>
    <w:uiPriority w:val="0"/>
    <w:rPr>
      <w:rFonts w:eastAsia="宋体"/>
      <w:b/>
      <w:bCs/>
      <w:spacing w:val="-20"/>
      <w:kern w:val="2"/>
      <w:sz w:val="21"/>
      <w:szCs w:val="24"/>
      <w:lang w:val="en-US" w:eastAsia="zh-CN" w:bidi="ar-SA"/>
    </w:rPr>
  </w:style>
  <w:style w:type="character" w:customStyle="1" w:styleId="104">
    <w:name w:val="二级标题 Char"/>
    <w:link w:val="105"/>
    <w:qFormat/>
    <w:uiPriority w:val="0"/>
    <w:rPr>
      <w:rFonts w:ascii="Calibri" w:hAnsi="Calibri"/>
      <w:b/>
      <w:kern w:val="2"/>
      <w:sz w:val="24"/>
      <w:szCs w:val="22"/>
    </w:rPr>
  </w:style>
  <w:style w:type="paragraph" w:customStyle="1" w:styleId="105">
    <w:name w:val="二级标题"/>
    <w:basedOn w:val="1"/>
    <w:link w:val="104"/>
    <w:qFormat/>
    <w:uiPriority w:val="0"/>
    <w:pPr>
      <w:spacing w:line="360" w:lineRule="auto"/>
    </w:pPr>
    <w:rPr>
      <w:rFonts w:ascii="Calibri" w:hAnsi="Calibri"/>
      <w:b/>
      <w:sz w:val="24"/>
      <w:szCs w:val="22"/>
    </w:rPr>
  </w:style>
  <w:style w:type="character" w:customStyle="1" w:styleId="106">
    <w:name w:val="titletext11"/>
    <w:qFormat/>
    <w:uiPriority w:val="0"/>
    <w:rPr>
      <w:b/>
      <w:bCs/>
      <w:color w:val="C50B1E"/>
    </w:rPr>
  </w:style>
  <w:style w:type="character" w:customStyle="1" w:styleId="107">
    <w:name w:val="titletext2s1"/>
    <w:qFormat/>
    <w:uiPriority w:val="0"/>
    <w:rPr>
      <w:b/>
      <w:bCs/>
      <w:color w:val="000000"/>
    </w:rPr>
  </w:style>
  <w:style w:type="character" w:customStyle="1" w:styleId="108">
    <w:name w:val="明显参考1"/>
    <w:qFormat/>
    <w:uiPriority w:val="0"/>
    <w:rPr>
      <w:smallCaps/>
      <w:spacing w:val="5"/>
      <w:u w:val="single"/>
    </w:rPr>
  </w:style>
  <w:style w:type="character" w:customStyle="1" w:styleId="109">
    <w:name w:val="目录 1 Char"/>
    <w:link w:val="39"/>
    <w:qFormat/>
    <w:uiPriority w:val="0"/>
    <w:rPr>
      <w:rFonts w:ascii="Arial" w:hAnsi="Arial" w:cs="Arial"/>
      <w:b/>
      <w:bCs/>
      <w:caps/>
      <w:kern w:val="2"/>
      <w:sz w:val="24"/>
      <w:szCs w:val="24"/>
    </w:rPr>
  </w:style>
  <w:style w:type="character" w:customStyle="1" w:styleId="110">
    <w:name w:val="标题 Char1"/>
    <w:qFormat/>
    <w:uiPriority w:val="10"/>
    <w:rPr>
      <w:rFonts w:ascii="Cambria" w:hAnsi="Cambria" w:eastAsia="宋体" w:cs="Times New Roman"/>
      <w:b/>
      <w:bCs/>
      <w:sz w:val="32"/>
      <w:szCs w:val="32"/>
    </w:rPr>
  </w:style>
  <w:style w:type="character" w:customStyle="1" w:styleId="111">
    <w:name w:val="Table Text Char"/>
    <w:link w:val="112"/>
    <w:qFormat/>
    <w:locked/>
    <w:uiPriority w:val="0"/>
    <w:rPr>
      <w:rFonts w:ascii="Arial" w:hAnsi="Arial"/>
      <w:color w:val="000000"/>
      <w:kern w:val="2"/>
      <w:sz w:val="18"/>
      <w:szCs w:val="21"/>
    </w:rPr>
  </w:style>
  <w:style w:type="paragraph" w:customStyle="1" w:styleId="112">
    <w:name w:val="Table Text"/>
    <w:basedOn w:val="1"/>
    <w:link w:val="111"/>
    <w:qFormat/>
    <w:uiPriority w:val="0"/>
    <w:pPr>
      <w:widowControl/>
      <w:tabs>
        <w:tab w:val="decimal" w:pos="0"/>
      </w:tabs>
      <w:autoSpaceDE w:val="0"/>
      <w:autoSpaceDN w:val="0"/>
      <w:adjustRightInd w:val="0"/>
      <w:spacing w:before="80" w:after="80"/>
    </w:pPr>
    <w:rPr>
      <w:rFonts w:ascii="Arial" w:hAnsi="Arial"/>
      <w:color w:val="000000"/>
      <w:sz w:val="18"/>
    </w:rPr>
  </w:style>
  <w:style w:type="character" w:customStyle="1" w:styleId="113">
    <w:name w:val="Table Text Char1 Char"/>
    <w:qFormat/>
    <w:uiPriority w:val="0"/>
    <w:rPr>
      <w:rFonts w:eastAsia="宋体"/>
      <w:sz w:val="21"/>
      <w:szCs w:val="24"/>
      <w:lang w:val="en-US" w:eastAsia="zh-CN" w:bidi="ar-SA"/>
    </w:rPr>
  </w:style>
  <w:style w:type="character" w:customStyle="1" w:styleId="114">
    <w:name w:val="正文缩进2格 Char"/>
    <w:link w:val="115"/>
    <w:qFormat/>
    <w:uiPriority w:val="0"/>
    <w:rPr>
      <w:rFonts w:ascii="仿宋_GB2312" w:hAnsi="宋体" w:eastAsia="仿宋_GB2312"/>
      <w:kern w:val="2"/>
      <w:sz w:val="31"/>
      <w:szCs w:val="28"/>
    </w:rPr>
  </w:style>
  <w:style w:type="paragraph" w:customStyle="1" w:styleId="115">
    <w:name w:val="正文缩进2格"/>
    <w:basedOn w:val="1"/>
    <w:link w:val="114"/>
    <w:qFormat/>
    <w:uiPriority w:val="0"/>
    <w:pPr>
      <w:spacing w:line="600" w:lineRule="exact"/>
      <w:ind w:firstLine="639" w:firstLineChars="206"/>
    </w:pPr>
    <w:rPr>
      <w:rFonts w:ascii="仿宋_GB2312" w:hAnsi="宋体" w:eastAsia="仿宋_GB2312"/>
      <w:sz w:val="31"/>
      <w:szCs w:val="28"/>
    </w:rPr>
  </w:style>
  <w:style w:type="character" w:customStyle="1" w:styleId="116">
    <w:name w:val="明显引用 Char"/>
    <w:qFormat/>
    <w:uiPriority w:val="0"/>
    <w:rPr>
      <w:rFonts w:ascii="宋体" w:hAnsi="Calibri"/>
      <w:b/>
      <w:bCs/>
      <w:i/>
      <w:iCs/>
      <w:sz w:val="24"/>
      <w:szCs w:val="24"/>
      <w:lang w:eastAsia="en-US" w:bidi="en-US"/>
    </w:rPr>
  </w:style>
  <w:style w:type="paragraph" w:styleId="117">
    <w:name w:val="Intense Quote"/>
    <w:basedOn w:val="1"/>
    <w:next w:val="1"/>
    <w:link w:val="504"/>
    <w:qFormat/>
    <w:uiPriority w:val="0"/>
    <w:pPr>
      <w:widowControl/>
      <w:pBdr>
        <w:bottom w:val="single" w:color="auto" w:sz="4" w:space="1"/>
      </w:pBdr>
      <w:spacing w:before="200" w:after="280" w:line="276" w:lineRule="auto"/>
      <w:ind w:left="1008" w:right="1152"/>
    </w:pPr>
    <w:rPr>
      <w:rFonts w:ascii="宋体" w:hAnsi="Calibri"/>
      <w:b/>
      <w:bCs/>
      <w:i/>
      <w:iCs/>
      <w:kern w:val="0"/>
      <w:sz w:val="24"/>
      <w:szCs w:val="24"/>
      <w:lang w:eastAsia="en-US" w:bidi="en-US"/>
    </w:rPr>
  </w:style>
  <w:style w:type="character" w:customStyle="1" w:styleId="118">
    <w:name w:val="question-title2"/>
    <w:qFormat/>
    <w:uiPriority w:val="0"/>
  </w:style>
  <w:style w:type="character" w:customStyle="1" w:styleId="119">
    <w:name w:val="tt21"/>
    <w:qFormat/>
    <w:uiPriority w:val="0"/>
    <w:rPr>
      <w:rFonts w:ascii="宋体" w:hAnsi="宋体"/>
      <w:b/>
      <w:bCs/>
      <w:sz w:val="32"/>
      <w:szCs w:val="18"/>
    </w:rPr>
  </w:style>
  <w:style w:type="character" w:customStyle="1" w:styleId="120">
    <w:name w:val="标题 6 字符"/>
    <w:qFormat/>
    <w:uiPriority w:val="9"/>
    <w:rPr>
      <w:rFonts w:ascii="等线 Light" w:hAnsi="等线 Light" w:eastAsia="等线 Light"/>
      <w:b/>
      <w:bCs/>
      <w:kern w:val="2"/>
      <w:sz w:val="24"/>
      <w:szCs w:val="24"/>
    </w:rPr>
  </w:style>
  <w:style w:type="character" w:customStyle="1" w:styleId="121">
    <w:name w:val="页脚 字符"/>
    <w:qFormat/>
    <w:uiPriority w:val="99"/>
    <w:rPr>
      <w:rFonts w:ascii="Times New Roman" w:hAnsi="Times New Roman"/>
      <w:kern w:val="2"/>
      <w:sz w:val="18"/>
      <w:szCs w:val="18"/>
    </w:rPr>
  </w:style>
  <w:style w:type="character" w:customStyle="1" w:styleId="122">
    <w:name w:val="样式5 Char"/>
    <w:link w:val="123"/>
    <w:qFormat/>
    <w:uiPriority w:val="0"/>
    <w:rPr>
      <w:rFonts w:ascii="Cambria" w:hAnsi="Cambria"/>
      <w:b/>
      <w:bCs/>
      <w:sz w:val="26"/>
      <w:szCs w:val="26"/>
      <w:lang w:eastAsia="en-US" w:bidi="en-US"/>
    </w:rPr>
  </w:style>
  <w:style w:type="paragraph" w:customStyle="1" w:styleId="123">
    <w:name w:val="样式5"/>
    <w:basedOn w:val="124"/>
    <w:link w:val="122"/>
    <w:qFormat/>
    <w:uiPriority w:val="0"/>
    <w:pPr>
      <w:numPr>
        <w:numId w:val="0"/>
      </w:numPr>
      <w:tabs>
        <w:tab w:val="left" w:pos="420"/>
      </w:tabs>
    </w:pPr>
  </w:style>
  <w:style w:type="paragraph" w:customStyle="1" w:styleId="124">
    <w:name w:val="样式4"/>
    <w:basedOn w:val="16"/>
    <w:link w:val="130"/>
    <w:qFormat/>
    <w:uiPriority w:val="0"/>
    <w:pPr>
      <w:widowControl/>
      <w:numPr>
        <w:ilvl w:val="0"/>
        <w:numId w:val="3"/>
      </w:numPr>
      <w:adjustRightInd/>
      <w:spacing w:before="200" w:line="276" w:lineRule="auto"/>
      <w:jc w:val="left"/>
      <w:textAlignment w:val="auto"/>
      <w:outlineLvl w:val="1"/>
    </w:pPr>
    <w:rPr>
      <w:rFonts w:ascii="Cambria" w:hAnsi="Cambria"/>
      <w:b/>
      <w:bCs/>
      <w:sz w:val="26"/>
      <w:szCs w:val="26"/>
      <w:lang w:eastAsia="en-US" w:bidi="en-US"/>
    </w:rPr>
  </w:style>
  <w:style w:type="character" w:customStyle="1" w:styleId="125">
    <w:name w:val="四级标题 Char"/>
    <w:link w:val="126"/>
    <w:qFormat/>
    <w:uiPriority w:val="0"/>
    <w:rPr>
      <w:rFonts w:ascii="Calibri" w:hAnsi="Calibri"/>
      <w:b/>
      <w:kern w:val="2"/>
      <w:sz w:val="24"/>
      <w:szCs w:val="22"/>
    </w:rPr>
  </w:style>
  <w:style w:type="paragraph" w:customStyle="1" w:styleId="126">
    <w:name w:val="四级标题"/>
    <w:basedOn w:val="1"/>
    <w:link w:val="125"/>
    <w:qFormat/>
    <w:uiPriority w:val="0"/>
    <w:pPr>
      <w:spacing w:line="360" w:lineRule="auto"/>
    </w:pPr>
    <w:rPr>
      <w:rFonts w:ascii="Calibri" w:hAnsi="Calibri"/>
      <w:b/>
      <w:sz w:val="24"/>
      <w:szCs w:val="22"/>
    </w:rPr>
  </w:style>
  <w:style w:type="character" w:customStyle="1" w:styleId="127">
    <w:name w:val="html_tag1"/>
    <w:qFormat/>
    <w:uiPriority w:val="0"/>
    <w:rPr>
      <w:color w:val="0000FF"/>
    </w:rPr>
  </w:style>
  <w:style w:type="character" w:customStyle="1" w:styleId="128">
    <w:name w:val="text4"/>
    <w:qFormat/>
    <w:uiPriority w:val="0"/>
  </w:style>
  <w:style w:type="character" w:customStyle="1" w:styleId="129">
    <w:name w:val="批注框文本 Char1"/>
    <w:qFormat/>
    <w:uiPriority w:val="99"/>
    <w:rPr>
      <w:kern w:val="2"/>
      <w:sz w:val="18"/>
      <w:szCs w:val="18"/>
    </w:rPr>
  </w:style>
  <w:style w:type="character" w:customStyle="1" w:styleId="130">
    <w:name w:val="样式4 Char"/>
    <w:link w:val="124"/>
    <w:qFormat/>
    <w:uiPriority w:val="0"/>
    <w:rPr>
      <w:rFonts w:ascii="Cambria" w:hAnsi="Cambria"/>
      <w:b/>
      <w:bCs/>
      <w:sz w:val="26"/>
      <w:szCs w:val="26"/>
      <w:lang w:eastAsia="en-US" w:bidi="en-US"/>
    </w:rPr>
  </w:style>
  <w:style w:type="character" w:customStyle="1" w:styleId="131">
    <w:name w:val="正文首行缩进 2 Char"/>
    <w:qFormat/>
    <w:uiPriority w:val="0"/>
    <w:rPr>
      <w:rFonts w:ascii="宋体" w:hAnsi="宋体"/>
      <w:kern w:val="2"/>
      <w:sz w:val="21"/>
    </w:rPr>
  </w:style>
  <w:style w:type="character" w:customStyle="1" w:styleId="132">
    <w:name w:val="正文 1 Char Char"/>
    <w:link w:val="133"/>
    <w:qFormat/>
    <w:uiPriority w:val="0"/>
    <w:rPr>
      <w:rFonts w:ascii="宋体" w:hAnsi="宋体"/>
      <w:color w:val="000000"/>
      <w:sz w:val="24"/>
      <w:szCs w:val="24"/>
    </w:rPr>
  </w:style>
  <w:style w:type="paragraph" w:customStyle="1" w:styleId="133">
    <w:name w:val="正文 1 Char"/>
    <w:basedOn w:val="1"/>
    <w:link w:val="132"/>
    <w:qFormat/>
    <w:uiPriority w:val="0"/>
    <w:pPr>
      <w:tabs>
        <w:tab w:val="left" w:pos="2540"/>
      </w:tabs>
      <w:snapToGrid w:val="0"/>
      <w:spacing w:before="80" w:after="80" w:line="360" w:lineRule="auto"/>
      <w:ind w:left="210" w:leftChars="100" w:right="210" w:rightChars="100"/>
    </w:pPr>
    <w:rPr>
      <w:rFonts w:ascii="宋体" w:hAnsi="宋体"/>
      <w:color w:val="000000"/>
      <w:kern w:val="0"/>
      <w:sz w:val="24"/>
      <w:szCs w:val="24"/>
    </w:rPr>
  </w:style>
  <w:style w:type="character" w:customStyle="1" w:styleId="134">
    <w:name w:val="明显强调1"/>
    <w:qFormat/>
    <w:uiPriority w:val="0"/>
    <w:rPr>
      <w:b/>
      <w:bCs/>
    </w:rPr>
  </w:style>
  <w:style w:type="character" w:customStyle="1" w:styleId="135">
    <w:name w:val="明显引用 Char1"/>
    <w:qFormat/>
    <w:uiPriority w:val="30"/>
    <w:rPr>
      <w:rFonts w:ascii="Times New Roman" w:hAnsi="Times New Roman" w:eastAsia="宋体" w:cs="Times New Roman"/>
      <w:b/>
      <w:bCs/>
      <w:i/>
      <w:iCs/>
      <w:color w:val="4F81BD"/>
      <w:szCs w:val="24"/>
    </w:rPr>
  </w:style>
  <w:style w:type="character" w:customStyle="1" w:styleId="136">
    <w:name w:val="title-061"/>
    <w:qFormat/>
    <w:uiPriority w:val="0"/>
    <w:rPr>
      <w:rFonts w:hint="default" w:ascii="Arial" w:hAnsi="Arial" w:cs="Arial"/>
      <w:b/>
      <w:bCs/>
      <w:color w:val="545CFF"/>
      <w:sz w:val="17"/>
      <w:szCs w:val="17"/>
    </w:rPr>
  </w:style>
  <w:style w:type="character" w:customStyle="1" w:styleId="137">
    <w:name w:val="标题 3.1 Char"/>
    <w:link w:val="138"/>
    <w:qFormat/>
    <w:locked/>
    <w:uiPriority w:val="0"/>
    <w:rPr>
      <w:rFonts w:ascii="宋体" w:hAnsi="宋体"/>
      <w:b/>
      <w:bCs/>
      <w:color w:val="000000"/>
      <w:kern w:val="2"/>
      <w:sz w:val="32"/>
      <w:szCs w:val="32"/>
    </w:rPr>
  </w:style>
  <w:style w:type="paragraph" w:customStyle="1" w:styleId="138">
    <w:name w:val="标题 3.1"/>
    <w:basedOn w:val="5"/>
    <w:link w:val="137"/>
    <w:qFormat/>
    <w:uiPriority w:val="0"/>
    <w:pPr>
      <w:tabs>
        <w:tab w:val="left" w:pos="1440"/>
        <w:tab w:val="left" w:pos="1620"/>
      </w:tabs>
      <w:adjustRightInd/>
      <w:spacing w:before="260" w:after="260" w:line="600" w:lineRule="exact"/>
      <w:jc w:val="both"/>
      <w:textAlignment w:val="auto"/>
    </w:pPr>
    <w:rPr>
      <w:rFonts w:ascii="宋体" w:hAnsi="宋体" w:eastAsia="宋体"/>
      <w:bCs/>
      <w:color w:val="000000"/>
      <w:sz w:val="32"/>
      <w:szCs w:val="32"/>
    </w:rPr>
  </w:style>
  <w:style w:type="character" w:customStyle="1" w:styleId="139">
    <w:name w:val="普通文字 Char Char1"/>
    <w:qFormat/>
    <w:uiPriority w:val="0"/>
    <w:rPr>
      <w:rFonts w:ascii="宋体" w:hAnsi="Courier New" w:cs="Courier New"/>
      <w:kern w:val="2"/>
      <w:sz w:val="21"/>
      <w:szCs w:val="21"/>
    </w:rPr>
  </w:style>
  <w:style w:type="character" w:customStyle="1" w:styleId="140">
    <w:name w:val="引用 Char"/>
    <w:qFormat/>
    <w:uiPriority w:val="29"/>
    <w:rPr>
      <w:rFonts w:ascii="宋体" w:hAnsi="Calibri"/>
      <w:i/>
      <w:iCs/>
      <w:sz w:val="24"/>
      <w:szCs w:val="24"/>
      <w:lang w:eastAsia="en-US" w:bidi="en-US"/>
    </w:rPr>
  </w:style>
  <w:style w:type="paragraph" w:styleId="141">
    <w:name w:val="Quote"/>
    <w:basedOn w:val="1"/>
    <w:next w:val="1"/>
    <w:link w:val="317"/>
    <w:qFormat/>
    <w:uiPriority w:val="29"/>
    <w:pPr>
      <w:widowControl/>
      <w:spacing w:before="200" w:line="276" w:lineRule="auto"/>
      <w:ind w:left="360" w:right="360"/>
      <w:jc w:val="left"/>
    </w:pPr>
    <w:rPr>
      <w:rFonts w:ascii="宋体" w:hAnsi="Calibri"/>
      <w:i/>
      <w:iCs/>
      <w:kern w:val="0"/>
      <w:sz w:val="24"/>
      <w:szCs w:val="24"/>
      <w:lang w:eastAsia="en-US" w:bidi="en-US"/>
    </w:rPr>
  </w:style>
  <w:style w:type="character" w:customStyle="1" w:styleId="142">
    <w:name w:val="font5 Char"/>
    <w:qFormat/>
    <w:uiPriority w:val="0"/>
    <w:rPr>
      <w:rFonts w:ascii="宋体" w:hAnsi="宋体" w:eastAsia="宋体"/>
      <w:sz w:val="28"/>
      <w:szCs w:val="28"/>
      <w:lang w:val="en-US" w:eastAsia="zh-CN" w:bidi="ar-SA"/>
    </w:rPr>
  </w:style>
  <w:style w:type="character" w:customStyle="1" w:styleId="143">
    <w:name w:val="样式 ssss + 宋体 五号1 Char"/>
    <w:link w:val="144"/>
    <w:qFormat/>
    <w:uiPriority w:val="0"/>
    <w:rPr>
      <w:rFonts w:ascii="宋体" w:hAnsi="宋体"/>
      <w:kern w:val="2"/>
      <w:sz w:val="24"/>
      <w:szCs w:val="24"/>
    </w:rPr>
  </w:style>
  <w:style w:type="paragraph" w:customStyle="1" w:styleId="144">
    <w:name w:val="样式 ssss + 宋体 五号1"/>
    <w:basedOn w:val="102"/>
    <w:link w:val="143"/>
    <w:qFormat/>
    <w:uiPriority w:val="0"/>
    <w:rPr>
      <w:rFonts w:ascii="宋体" w:hAnsi="宋体"/>
    </w:rPr>
  </w:style>
  <w:style w:type="character" w:customStyle="1" w:styleId="145">
    <w:name w:val="样式7 Char"/>
    <w:link w:val="146"/>
    <w:qFormat/>
    <w:uiPriority w:val="0"/>
    <w:rPr>
      <w:rFonts w:ascii="Cambria" w:hAnsi="Cambria"/>
      <w:b/>
      <w:bCs/>
      <w:sz w:val="24"/>
      <w:szCs w:val="24"/>
      <w:lang w:eastAsia="en-US" w:bidi="en-US"/>
    </w:rPr>
  </w:style>
  <w:style w:type="paragraph" w:customStyle="1" w:styleId="146">
    <w:name w:val="样式7"/>
    <w:basedOn w:val="5"/>
    <w:link w:val="145"/>
    <w:qFormat/>
    <w:uiPriority w:val="0"/>
    <w:pPr>
      <w:keepNext w:val="0"/>
      <w:keepLines w:val="0"/>
      <w:widowControl/>
      <w:numPr>
        <w:ilvl w:val="0"/>
        <w:numId w:val="4"/>
      </w:numPr>
      <w:adjustRightInd/>
      <w:spacing w:before="200" w:line="271" w:lineRule="auto"/>
      <w:textAlignment w:val="auto"/>
    </w:pPr>
    <w:rPr>
      <w:rFonts w:ascii="Cambria" w:hAnsi="Cambria" w:eastAsia="宋体"/>
      <w:bCs/>
      <w:kern w:val="0"/>
      <w:sz w:val="24"/>
      <w:szCs w:val="24"/>
      <w:lang w:eastAsia="en-US" w:bidi="en-US"/>
    </w:rPr>
  </w:style>
  <w:style w:type="character" w:customStyle="1" w:styleId="147">
    <w:name w:val="阴影"/>
    <w:qFormat/>
    <w:uiPriority w:val="0"/>
    <w:rPr>
      <w:color w:val="0000FF"/>
      <w:shd w:val="pct10" w:color="auto" w:fill="auto"/>
    </w:rPr>
  </w:style>
  <w:style w:type="character" w:customStyle="1" w:styleId="148">
    <w:name w:val="Char Char36"/>
    <w:qFormat/>
    <w:uiPriority w:val="0"/>
    <w:rPr>
      <w:rFonts w:eastAsia="宋体"/>
      <w:kern w:val="2"/>
      <w:sz w:val="24"/>
      <w:lang w:val="en-US" w:eastAsia="zh-CN" w:bidi="ar-SA"/>
    </w:rPr>
  </w:style>
  <w:style w:type="character" w:customStyle="1" w:styleId="149">
    <w:name w:val="nei_title1"/>
    <w:qFormat/>
    <w:uiPriority w:val="0"/>
    <w:rPr>
      <w:b/>
      <w:bCs/>
      <w:color w:val="CC0000"/>
    </w:rPr>
  </w:style>
  <w:style w:type="character" w:customStyle="1" w:styleId="150">
    <w:name w:val="apple-converted-space"/>
    <w:basedOn w:val="57"/>
    <w:qFormat/>
    <w:uiPriority w:val="0"/>
  </w:style>
  <w:style w:type="character" w:customStyle="1" w:styleId="151">
    <w:name w:val="font21"/>
    <w:qFormat/>
    <w:uiPriority w:val="0"/>
    <w:rPr>
      <w:rFonts w:hint="eastAsia" w:ascii="微软雅黑" w:hAnsi="微软雅黑" w:eastAsia="微软雅黑" w:cs="微软雅黑"/>
      <w:b/>
      <w:color w:val="FF0000"/>
      <w:sz w:val="16"/>
      <w:szCs w:val="16"/>
      <w:u w:val="none"/>
    </w:rPr>
  </w:style>
  <w:style w:type="character" w:customStyle="1" w:styleId="152">
    <w:name w:val="批注框文本 Char"/>
    <w:qFormat/>
    <w:uiPriority w:val="0"/>
    <w:rPr>
      <w:kern w:val="2"/>
      <w:sz w:val="18"/>
      <w:szCs w:val="18"/>
    </w:rPr>
  </w:style>
  <w:style w:type="character" w:customStyle="1" w:styleId="153">
    <w:name w:val="正文文本 2 Char"/>
    <w:qFormat/>
    <w:uiPriority w:val="0"/>
    <w:rPr>
      <w:rFonts w:ascii="楷体_GB2312" w:eastAsia="楷体_GB2312"/>
      <w:kern w:val="2"/>
      <w:sz w:val="28"/>
      <w:szCs w:val="28"/>
    </w:rPr>
  </w:style>
  <w:style w:type="character" w:customStyle="1" w:styleId="154">
    <w:name w:val="subheader1"/>
    <w:qFormat/>
    <w:uiPriority w:val="0"/>
    <w:rPr>
      <w:rFonts w:hint="default" w:ascii="Arial" w:hAnsi="Arial" w:cs="Arial"/>
      <w:b/>
      <w:bCs/>
      <w:color w:val="003366"/>
      <w:sz w:val="17"/>
      <w:szCs w:val="17"/>
    </w:rPr>
  </w:style>
  <w:style w:type="character" w:customStyle="1" w:styleId="155">
    <w:name w:val="正文标准 Char"/>
    <w:link w:val="156"/>
    <w:qFormat/>
    <w:uiPriority w:val="0"/>
    <w:rPr>
      <w:kern w:val="2"/>
      <w:sz w:val="24"/>
      <w:szCs w:val="21"/>
    </w:rPr>
  </w:style>
  <w:style w:type="paragraph" w:customStyle="1" w:styleId="156">
    <w:name w:val="正文标准"/>
    <w:basedOn w:val="1"/>
    <w:link w:val="155"/>
    <w:qFormat/>
    <w:uiPriority w:val="0"/>
    <w:pPr>
      <w:spacing w:line="360" w:lineRule="auto"/>
      <w:ind w:firstLine="200" w:firstLineChars="200"/>
    </w:pPr>
    <w:rPr>
      <w:sz w:val="24"/>
    </w:rPr>
  </w:style>
  <w:style w:type="character" w:customStyle="1" w:styleId="157">
    <w:name w:val="批注文字 Char"/>
    <w:qFormat/>
    <w:uiPriority w:val="0"/>
    <w:rPr>
      <w:kern w:val="2"/>
      <w:sz w:val="21"/>
      <w:szCs w:val="21"/>
    </w:rPr>
  </w:style>
  <w:style w:type="character" w:customStyle="1" w:styleId="158">
    <w:name w:val="正文文本缩进 3 Char"/>
    <w:qFormat/>
    <w:uiPriority w:val="0"/>
    <w:rPr>
      <w:rFonts w:ascii="Arial" w:hAnsi="Arial" w:eastAsia="仿宋_GB2312" w:cs="Arial"/>
      <w:color w:val="FFFF00"/>
      <w:kern w:val="2"/>
      <w:sz w:val="32"/>
      <w:szCs w:val="32"/>
    </w:rPr>
  </w:style>
  <w:style w:type="character" w:customStyle="1" w:styleId="159">
    <w:name w:val="列出段落 Char"/>
    <w:link w:val="160"/>
    <w:qFormat/>
    <w:locked/>
    <w:uiPriority w:val="34"/>
    <w:rPr>
      <w:rFonts w:ascii="Calibri" w:hAnsi="Calibri"/>
      <w:sz w:val="24"/>
      <w:szCs w:val="24"/>
      <w:lang w:eastAsia="en-US" w:bidi="en-US"/>
    </w:rPr>
  </w:style>
  <w:style w:type="paragraph" w:customStyle="1" w:styleId="160">
    <w:name w:val="列出段落11"/>
    <w:basedOn w:val="1"/>
    <w:link w:val="159"/>
    <w:qFormat/>
    <w:uiPriority w:val="34"/>
    <w:pPr>
      <w:widowControl/>
      <w:ind w:left="720"/>
      <w:contextualSpacing/>
      <w:jc w:val="left"/>
    </w:pPr>
    <w:rPr>
      <w:rFonts w:ascii="Calibri" w:hAnsi="Calibri"/>
      <w:kern w:val="0"/>
      <w:sz w:val="24"/>
      <w:szCs w:val="24"/>
      <w:lang w:eastAsia="en-US" w:bidi="en-US"/>
    </w:rPr>
  </w:style>
  <w:style w:type="character" w:customStyle="1" w:styleId="161">
    <w:name w:val="No Spacing Char"/>
    <w:link w:val="162"/>
    <w:qFormat/>
    <w:uiPriority w:val="0"/>
    <w:rPr>
      <w:rFonts w:ascii="Calibri" w:hAnsi="Calibri" w:eastAsia="Calibri"/>
      <w:sz w:val="22"/>
      <w:szCs w:val="22"/>
    </w:rPr>
  </w:style>
  <w:style w:type="paragraph" w:customStyle="1" w:styleId="162">
    <w:name w:val="No Spacing1"/>
    <w:basedOn w:val="1"/>
    <w:link w:val="161"/>
    <w:qFormat/>
    <w:uiPriority w:val="0"/>
    <w:pPr>
      <w:widowControl/>
      <w:jc w:val="left"/>
    </w:pPr>
    <w:rPr>
      <w:rFonts w:ascii="Calibri" w:hAnsi="Calibri" w:eastAsia="Calibri"/>
      <w:kern w:val="0"/>
      <w:sz w:val="22"/>
      <w:szCs w:val="22"/>
    </w:rPr>
  </w:style>
  <w:style w:type="character" w:customStyle="1" w:styleId="163">
    <w:name w:val="列表编号 Char"/>
    <w:link w:val="15"/>
    <w:qFormat/>
    <w:uiPriority w:val="0"/>
    <w:rPr>
      <w:rFonts w:ascii="宋体"/>
      <w:sz w:val="21"/>
      <w:szCs w:val="21"/>
    </w:rPr>
  </w:style>
  <w:style w:type="character" w:customStyle="1" w:styleId="164">
    <w:name w:val="样式1 Char Char"/>
    <w:qFormat/>
    <w:uiPriority w:val="0"/>
    <w:rPr>
      <w:rFonts w:ascii="宋体" w:hAnsi="宋体" w:eastAsia="宋体" w:cs="Times New Roman"/>
      <w:snapToGrid/>
      <w:kern w:val="2"/>
      <w:sz w:val="28"/>
      <w:szCs w:val="24"/>
    </w:rPr>
  </w:style>
  <w:style w:type="character" w:customStyle="1" w:styleId="165">
    <w:name w:val="Char Char34"/>
    <w:qFormat/>
    <w:uiPriority w:val="0"/>
    <w:rPr>
      <w:rFonts w:ascii="Calibri" w:eastAsia="宋体"/>
      <w:b/>
      <w:bCs/>
      <w:i/>
      <w:iCs/>
      <w:kern w:val="2"/>
      <w:sz w:val="26"/>
      <w:szCs w:val="26"/>
      <w:lang w:val="en-US" w:eastAsia="zh-CN" w:bidi="ar-SA"/>
    </w:rPr>
  </w:style>
  <w:style w:type="character" w:customStyle="1" w:styleId="166">
    <w:name w:val="不明显参考1"/>
    <w:qFormat/>
    <w:uiPriority w:val="31"/>
    <w:rPr>
      <w:smallCaps/>
    </w:rPr>
  </w:style>
  <w:style w:type="character" w:customStyle="1" w:styleId="167">
    <w:name w:val="zw1"/>
    <w:qFormat/>
    <w:uiPriority w:val="0"/>
    <w:rPr>
      <w:color w:val="000000"/>
      <w:sz w:val="20"/>
      <w:szCs w:val="20"/>
      <w:u w:val="none"/>
    </w:rPr>
  </w:style>
  <w:style w:type="character" w:customStyle="1" w:styleId="168">
    <w:name w:val="FA正文 Char"/>
    <w:link w:val="169"/>
    <w:qFormat/>
    <w:uiPriority w:val="0"/>
    <w:rPr>
      <w:rFonts w:ascii="宋体" w:hAnsi="宋体"/>
      <w:kern w:val="2"/>
      <w:sz w:val="28"/>
      <w:szCs w:val="28"/>
    </w:rPr>
  </w:style>
  <w:style w:type="paragraph" w:customStyle="1" w:styleId="169">
    <w:name w:val="FA正文"/>
    <w:basedOn w:val="1"/>
    <w:link w:val="168"/>
    <w:qFormat/>
    <w:uiPriority w:val="0"/>
    <w:pPr>
      <w:tabs>
        <w:tab w:val="left" w:pos="3375"/>
      </w:tabs>
      <w:spacing w:line="440" w:lineRule="atLeast"/>
      <w:ind w:firstLine="538" w:firstLineChars="192"/>
    </w:pPr>
    <w:rPr>
      <w:rFonts w:ascii="宋体" w:hAnsi="宋体"/>
      <w:sz w:val="28"/>
      <w:szCs w:val="28"/>
    </w:rPr>
  </w:style>
  <w:style w:type="character" w:customStyle="1" w:styleId="170">
    <w:name w:val="样式1 Char"/>
    <w:link w:val="171"/>
    <w:qFormat/>
    <w:uiPriority w:val="0"/>
    <w:rPr>
      <w:rFonts w:ascii="宋体" w:hAnsi="宋体"/>
      <w:sz w:val="21"/>
      <w:szCs w:val="21"/>
    </w:rPr>
  </w:style>
  <w:style w:type="paragraph" w:customStyle="1" w:styleId="171">
    <w:name w:val="样式1"/>
    <w:basedOn w:val="1"/>
    <w:link w:val="170"/>
    <w:qFormat/>
    <w:uiPriority w:val="0"/>
    <w:pPr>
      <w:numPr>
        <w:ilvl w:val="0"/>
        <w:numId w:val="5"/>
      </w:numPr>
      <w:adjustRightInd w:val="0"/>
      <w:textAlignment w:val="baseline"/>
    </w:pPr>
    <w:rPr>
      <w:rFonts w:ascii="宋体" w:hAnsi="宋体"/>
      <w:kern w:val="0"/>
    </w:rPr>
  </w:style>
  <w:style w:type="character" w:customStyle="1" w:styleId="172">
    <w:name w:val="Char Char35"/>
    <w:qFormat/>
    <w:uiPriority w:val="0"/>
    <w:rPr>
      <w:rFonts w:eastAsia="宋体"/>
      <w:kern w:val="2"/>
      <w:sz w:val="24"/>
      <w:lang w:val="en-US" w:eastAsia="zh-CN" w:bidi="ar-SA"/>
    </w:rPr>
  </w:style>
  <w:style w:type="character" w:customStyle="1" w:styleId="173">
    <w:name w:val="表格 Char Char"/>
    <w:link w:val="174"/>
    <w:qFormat/>
    <w:uiPriority w:val="0"/>
    <w:rPr>
      <w:rFonts w:ascii="Arial" w:hAnsi="Arial"/>
      <w:kern w:val="2"/>
      <w:sz w:val="24"/>
      <w:szCs w:val="24"/>
    </w:rPr>
  </w:style>
  <w:style w:type="paragraph" w:customStyle="1" w:styleId="174">
    <w:name w:val="表格"/>
    <w:basedOn w:val="1"/>
    <w:link w:val="173"/>
    <w:qFormat/>
    <w:uiPriority w:val="0"/>
    <w:rPr>
      <w:rFonts w:ascii="Arial" w:hAnsi="Arial"/>
      <w:sz w:val="24"/>
      <w:szCs w:val="24"/>
    </w:rPr>
  </w:style>
  <w:style w:type="character" w:customStyle="1" w:styleId="175">
    <w:name w:val="副标题 Char"/>
    <w:qFormat/>
    <w:uiPriority w:val="11"/>
    <w:rPr>
      <w:rFonts w:ascii="Cambria" w:hAnsi="Cambria"/>
      <w:i/>
      <w:iCs/>
      <w:spacing w:val="13"/>
      <w:sz w:val="24"/>
      <w:szCs w:val="24"/>
      <w:lang w:eastAsia="en-US" w:bidi="en-US"/>
    </w:rPr>
  </w:style>
  <w:style w:type="character" w:customStyle="1" w:styleId="176">
    <w:name w:val="Table Text Char2"/>
    <w:qFormat/>
    <w:uiPriority w:val="0"/>
    <w:rPr>
      <w:rFonts w:eastAsia="宋体"/>
      <w:b/>
      <w:bCs/>
      <w:sz w:val="21"/>
      <w:szCs w:val="24"/>
      <w:lang w:val="en-US" w:eastAsia="zh-CN" w:bidi="ar-SA"/>
    </w:rPr>
  </w:style>
  <w:style w:type="character" w:customStyle="1" w:styleId="177">
    <w:name w:val="不明显强调1"/>
    <w:qFormat/>
    <w:uiPriority w:val="19"/>
    <w:rPr>
      <w:i/>
      <w:iCs/>
    </w:rPr>
  </w:style>
  <w:style w:type="character" w:customStyle="1" w:styleId="178">
    <w:name w:val="标题3 Char Char"/>
    <w:link w:val="179"/>
    <w:qFormat/>
    <w:uiPriority w:val="0"/>
    <w:rPr>
      <w:rFonts w:ascii="宋体" w:hAnsi="宋体"/>
      <w:b/>
      <w:bCs/>
      <w:kern w:val="2"/>
      <w:sz w:val="28"/>
      <w:szCs w:val="28"/>
    </w:rPr>
  </w:style>
  <w:style w:type="paragraph" w:customStyle="1" w:styleId="179">
    <w:name w:val="标题3 Char"/>
    <w:basedOn w:val="5"/>
    <w:link w:val="178"/>
    <w:qFormat/>
    <w:uiPriority w:val="0"/>
    <w:pPr>
      <w:adjustRightInd/>
      <w:spacing w:before="260" w:after="260" w:line="416" w:lineRule="auto"/>
      <w:jc w:val="both"/>
      <w:textAlignment w:val="auto"/>
    </w:pPr>
    <w:rPr>
      <w:rFonts w:ascii="宋体" w:hAnsi="宋体" w:eastAsia="宋体"/>
      <w:bCs/>
      <w:sz w:val="28"/>
      <w:szCs w:val="28"/>
    </w:rPr>
  </w:style>
  <w:style w:type="character" w:customStyle="1" w:styleId="180">
    <w:name w:val="正文文本缩进 Char"/>
    <w:qFormat/>
    <w:locked/>
    <w:uiPriority w:val="0"/>
    <w:rPr>
      <w:rFonts w:ascii="楷体_GB2312" w:eastAsia="楷体_GB2312"/>
      <w:kern w:val="2"/>
      <w:sz w:val="32"/>
      <w:szCs w:val="32"/>
    </w:rPr>
  </w:style>
  <w:style w:type="character" w:customStyle="1" w:styleId="181">
    <w:name w:val="一级标题 Char"/>
    <w:link w:val="182"/>
    <w:qFormat/>
    <w:uiPriority w:val="0"/>
    <w:rPr>
      <w:b/>
      <w:bCs/>
      <w:kern w:val="44"/>
      <w:sz w:val="32"/>
      <w:szCs w:val="44"/>
    </w:rPr>
  </w:style>
  <w:style w:type="paragraph" w:customStyle="1" w:styleId="182">
    <w:name w:val="一级标题"/>
    <w:basedOn w:val="3"/>
    <w:link w:val="181"/>
    <w:qFormat/>
    <w:uiPriority w:val="0"/>
    <w:pPr>
      <w:spacing w:beforeLines="50" w:after="0" w:line="360" w:lineRule="atLeast"/>
    </w:pPr>
    <w:rPr>
      <w:rFonts w:eastAsia="宋体"/>
      <w:bCs/>
      <w:sz w:val="32"/>
      <w:szCs w:val="44"/>
    </w:rPr>
  </w:style>
  <w:style w:type="character" w:customStyle="1" w:styleId="183">
    <w:name w:val="正文文本 Char1"/>
    <w:semiHidden/>
    <w:qFormat/>
    <w:uiPriority w:val="99"/>
    <w:rPr>
      <w:rFonts w:ascii="Times New Roman" w:hAnsi="Times New Roman" w:eastAsia="宋体" w:cs="Times New Roman"/>
      <w:szCs w:val="24"/>
    </w:rPr>
  </w:style>
  <w:style w:type="character" w:customStyle="1" w:styleId="184">
    <w:name w:val="正文（绿盟科技） Char"/>
    <w:link w:val="185"/>
    <w:qFormat/>
    <w:uiPriority w:val="0"/>
    <w:rPr>
      <w:rFonts w:ascii="Arial" w:hAnsi="Arial"/>
      <w:sz w:val="21"/>
      <w:szCs w:val="21"/>
    </w:rPr>
  </w:style>
  <w:style w:type="paragraph" w:customStyle="1" w:styleId="185">
    <w:name w:val="正文（绿盟科技）"/>
    <w:link w:val="184"/>
    <w:qFormat/>
    <w:uiPriority w:val="0"/>
    <w:pPr>
      <w:spacing w:line="300" w:lineRule="auto"/>
    </w:pPr>
    <w:rPr>
      <w:rFonts w:ascii="Arial" w:hAnsi="Arial" w:eastAsia="宋体" w:cs="Times New Roman"/>
      <w:sz w:val="21"/>
      <w:szCs w:val="21"/>
      <w:lang w:val="en-US" w:eastAsia="zh-CN" w:bidi="ar-SA"/>
    </w:rPr>
  </w:style>
  <w:style w:type="character" w:customStyle="1" w:styleId="186">
    <w:name w:val="A7"/>
    <w:unhideWhenUsed/>
    <w:qFormat/>
    <w:uiPriority w:val="99"/>
    <w:rPr>
      <w:rFonts w:hint="eastAsia" w:ascii="Museo Sans For Dell" w:hAnsi="Museo Sans For Dell" w:eastAsia="Museo Sans For Dell"/>
      <w:color w:val="221E1F"/>
      <w:sz w:val="16"/>
    </w:rPr>
  </w:style>
  <w:style w:type="character" w:customStyle="1" w:styleId="187">
    <w:name w:val="html_txt1"/>
    <w:qFormat/>
    <w:uiPriority w:val="0"/>
    <w:rPr>
      <w:color w:val="000000"/>
    </w:rPr>
  </w:style>
  <w:style w:type="character" w:customStyle="1" w:styleId="188">
    <w:name w:val="word141"/>
    <w:qFormat/>
    <w:uiPriority w:val="0"/>
    <w:rPr>
      <w:color w:val="0066CC"/>
      <w:sz w:val="20"/>
      <w:szCs w:val="20"/>
    </w:rPr>
  </w:style>
  <w:style w:type="character" w:customStyle="1" w:styleId="189">
    <w:name w:val="正文首行缩进 Char"/>
    <w:qFormat/>
    <w:uiPriority w:val="0"/>
    <w:rPr>
      <w:rFonts w:ascii="仿宋_GB2312" w:eastAsia="仿宋_GB2312"/>
      <w:kern w:val="2"/>
      <w:sz w:val="30"/>
      <w:szCs w:val="30"/>
    </w:rPr>
  </w:style>
  <w:style w:type="character" w:customStyle="1" w:styleId="190">
    <w:name w:val="文档结构图 Char"/>
    <w:qFormat/>
    <w:uiPriority w:val="0"/>
    <w:rPr>
      <w:kern w:val="2"/>
      <w:sz w:val="21"/>
      <w:szCs w:val="21"/>
      <w:shd w:val="clear" w:color="auto" w:fill="000080"/>
    </w:rPr>
  </w:style>
  <w:style w:type="character" w:customStyle="1" w:styleId="191">
    <w:name w:val="walkinnet"/>
    <w:qFormat/>
    <w:uiPriority w:val="0"/>
    <w:rPr>
      <w:color w:val="000000"/>
    </w:rPr>
  </w:style>
  <w:style w:type="character" w:customStyle="1" w:styleId="192">
    <w:name w:val="正文首行缩进 Char Char Char Char Char Char Char Char Char Char Char Char Char Char Char Char Char Char Char Char Char Char Char"/>
    <w:qFormat/>
    <w:uiPriority w:val="0"/>
    <w:rPr>
      <w:rFonts w:ascii="Arial" w:hAnsi="Arial" w:eastAsia="宋体" w:cs="Arial"/>
      <w:sz w:val="21"/>
      <w:szCs w:val="21"/>
      <w:lang w:val="en-US" w:eastAsia="zh-CN" w:bidi="ar-SA"/>
    </w:rPr>
  </w:style>
  <w:style w:type="character" w:customStyle="1" w:styleId="193">
    <w:name w:val="样式6 Char"/>
    <w:link w:val="194"/>
    <w:qFormat/>
    <w:uiPriority w:val="0"/>
    <w:rPr>
      <w:rFonts w:ascii="Cambria" w:hAnsi="Cambria"/>
      <w:b/>
      <w:bCs/>
      <w:sz w:val="26"/>
      <w:szCs w:val="26"/>
      <w:lang w:eastAsia="en-US" w:bidi="en-US"/>
    </w:rPr>
  </w:style>
  <w:style w:type="paragraph" w:customStyle="1" w:styleId="194">
    <w:name w:val="样式6"/>
    <w:basedOn w:val="123"/>
    <w:link w:val="193"/>
    <w:qFormat/>
    <w:uiPriority w:val="0"/>
  </w:style>
  <w:style w:type="character" w:customStyle="1" w:styleId="195">
    <w:name w:val="正文文本 Char"/>
    <w:qFormat/>
    <w:uiPriority w:val="0"/>
    <w:rPr>
      <w:rFonts w:ascii="楷体_GB2312" w:hAnsi="Arial" w:eastAsia="楷体_GB2312"/>
      <w:kern w:val="2"/>
      <w:sz w:val="28"/>
      <w:szCs w:val="28"/>
    </w:rPr>
  </w:style>
  <w:style w:type="character" w:customStyle="1" w:styleId="196">
    <w:name w:val="文档结构图 Char1"/>
    <w:qFormat/>
    <w:uiPriority w:val="99"/>
    <w:rPr>
      <w:rFonts w:ascii="宋体"/>
      <w:kern w:val="2"/>
      <w:sz w:val="18"/>
      <w:szCs w:val="18"/>
    </w:rPr>
  </w:style>
  <w:style w:type="character" w:customStyle="1" w:styleId="197">
    <w:name w:val="页脚 Char1"/>
    <w:semiHidden/>
    <w:qFormat/>
    <w:uiPriority w:val="99"/>
    <w:rPr>
      <w:rFonts w:ascii="Times New Roman" w:hAnsi="Times New Roman" w:eastAsia="宋体" w:cs="Times New Roman"/>
      <w:sz w:val="18"/>
      <w:szCs w:val="18"/>
    </w:rPr>
  </w:style>
  <w:style w:type="character" w:customStyle="1" w:styleId="198">
    <w:name w:val="unnamed1"/>
    <w:qFormat/>
    <w:uiPriority w:val="0"/>
  </w:style>
  <w:style w:type="character" w:customStyle="1" w:styleId="199">
    <w:name w:val="style3"/>
    <w:qFormat/>
    <w:uiPriority w:val="0"/>
  </w:style>
  <w:style w:type="character" w:customStyle="1" w:styleId="200">
    <w:name w:val="Char Char12"/>
    <w:qFormat/>
    <w:uiPriority w:val="0"/>
    <w:rPr>
      <w:rFonts w:ascii="Times New Roman" w:hAnsi="Times New Roman"/>
      <w:b/>
      <w:bCs/>
      <w:iCs/>
      <w:sz w:val="24"/>
      <w:szCs w:val="28"/>
      <w:lang w:eastAsia="zh-CN"/>
    </w:rPr>
  </w:style>
  <w:style w:type="character" w:customStyle="1" w:styleId="201">
    <w:name w:val="页眉 字符"/>
    <w:qFormat/>
    <w:uiPriority w:val="99"/>
    <w:rPr>
      <w:rFonts w:ascii="Times New Roman" w:hAnsi="Times New Roman"/>
      <w:kern w:val="2"/>
      <w:sz w:val="18"/>
      <w:szCs w:val="18"/>
    </w:rPr>
  </w:style>
  <w:style w:type="character" w:customStyle="1" w:styleId="202">
    <w:name w:val="apple-style-span"/>
    <w:basedOn w:val="57"/>
    <w:qFormat/>
    <w:uiPriority w:val="0"/>
  </w:style>
  <w:style w:type="character" w:customStyle="1" w:styleId="203">
    <w:name w:val="about1"/>
    <w:qFormat/>
    <w:uiPriority w:val="0"/>
    <w:rPr>
      <w:rFonts w:hint="default" w:ascii="ˎ̥" w:hAnsi="ˎ̥"/>
      <w:sz w:val="18"/>
      <w:szCs w:val="18"/>
    </w:rPr>
  </w:style>
  <w:style w:type="character" w:customStyle="1" w:styleId="204">
    <w:name w:val="三级标题 Char"/>
    <w:link w:val="205"/>
    <w:qFormat/>
    <w:uiPriority w:val="0"/>
    <w:rPr>
      <w:rFonts w:ascii="Calibri" w:hAnsi="Calibri"/>
      <w:b/>
      <w:kern w:val="2"/>
      <w:sz w:val="24"/>
      <w:szCs w:val="22"/>
    </w:rPr>
  </w:style>
  <w:style w:type="paragraph" w:customStyle="1" w:styleId="205">
    <w:name w:val="三级标题"/>
    <w:basedOn w:val="1"/>
    <w:link w:val="204"/>
    <w:qFormat/>
    <w:uiPriority w:val="0"/>
    <w:pPr>
      <w:spacing w:line="360" w:lineRule="auto"/>
    </w:pPr>
    <w:rPr>
      <w:rFonts w:ascii="Calibri" w:hAnsi="Calibri"/>
      <w:b/>
      <w:sz w:val="24"/>
      <w:szCs w:val="22"/>
    </w:rPr>
  </w:style>
  <w:style w:type="character" w:customStyle="1" w:styleId="206">
    <w:name w:val="正文文本缩进 2 Char"/>
    <w:qFormat/>
    <w:uiPriority w:val="0"/>
    <w:rPr>
      <w:rFonts w:ascii="Arial" w:hAnsi="Arial" w:eastAsia="仿宋_GB2312" w:cs="Arial"/>
      <w:kern w:val="2"/>
      <w:sz w:val="32"/>
      <w:szCs w:val="32"/>
    </w:rPr>
  </w:style>
  <w:style w:type="character" w:customStyle="1" w:styleId="207">
    <w:name w:val="表身 Char Char"/>
    <w:link w:val="208"/>
    <w:qFormat/>
    <w:uiPriority w:val="0"/>
    <w:rPr>
      <w:sz w:val="18"/>
    </w:rPr>
  </w:style>
  <w:style w:type="paragraph" w:customStyle="1" w:styleId="208">
    <w:name w:val="表身 Char"/>
    <w:link w:val="207"/>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character" w:customStyle="1" w:styleId="209">
    <w:name w:val="style2611"/>
    <w:qFormat/>
    <w:uiPriority w:val="0"/>
    <w:rPr>
      <w:sz w:val="18"/>
      <w:szCs w:val="18"/>
    </w:rPr>
  </w:style>
  <w:style w:type="character" w:customStyle="1" w:styleId="210">
    <w:name w:val="样式2 Char"/>
    <w:link w:val="211"/>
    <w:qFormat/>
    <w:uiPriority w:val="0"/>
    <w:rPr>
      <w:rFonts w:eastAsia="楷体"/>
      <w:b/>
      <w:kern w:val="2"/>
      <w:sz w:val="28"/>
      <w:szCs w:val="28"/>
    </w:rPr>
  </w:style>
  <w:style w:type="paragraph" w:customStyle="1" w:styleId="211">
    <w:name w:val="样式2"/>
    <w:basedOn w:val="8"/>
    <w:link w:val="210"/>
    <w:qFormat/>
    <w:uiPriority w:val="0"/>
    <w:pPr>
      <w:keepLines w:val="0"/>
      <w:spacing w:after="240" w:line="240" w:lineRule="auto"/>
      <w:jc w:val="left"/>
    </w:pPr>
    <w:rPr>
      <w:rFonts w:ascii="Times New Roman" w:hAnsi="Times New Roman" w:eastAsia="楷体"/>
      <w:bCs w:val="0"/>
      <w:sz w:val="28"/>
      <w:szCs w:val="28"/>
    </w:rPr>
  </w:style>
  <w:style w:type="character" w:customStyle="1" w:styleId="212">
    <w:name w:val="v151"/>
    <w:qFormat/>
    <w:uiPriority w:val="0"/>
    <w:rPr>
      <w:sz w:val="18"/>
      <w:szCs w:val="18"/>
    </w:rPr>
  </w:style>
  <w:style w:type="character" w:customStyle="1" w:styleId="213">
    <w:name w:val="font"/>
    <w:qFormat/>
    <w:uiPriority w:val="0"/>
  </w:style>
  <w:style w:type="character" w:customStyle="1" w:styleId="214">
    <w:name w:val="副标题 Char1"/>
    <w:qFormat/>
    <w:uiPriority w:val="0"/>
    <w:rPr>
      <w:rFonts w:ascii="Cambria" w:hAnsi="Cambria" w:cs="Times New Roman"/>
      <w:b/>
      <w:bCs/>
      <w:kern w:val="28"/>
      <w:sz w:val="32"/>
      <w:szCs w:val="32"/>
    </w:rPr>
  </w:style>
  <w:style w:type="character" w:customStyle="1" w:styleId="215">
    <w:name w:val="明显引用 Char2"/>
    <w:qFormat/>
    <w:uiPriority w:val="30"/>
    <w:rPr>
      <w:b/>
      <w:bCs/>
      <w:i/>
      <w:iCs/>
      <w:color w:val="4F81BD"/>
      <w:kern w:val="2"/>
      <w:sz w:val="21"/>
      <w:szCs w:val="21"/>
    </w:rPr>
  </w:style>
  <w:style w:type="character" w:customStyle="1" w:styleId="216">
    <w:name w:val="引用 Char1"/>
    <w:qFormat/>
    <w:uiPriority w:val="29"/>
    <w:rPr>
      <w:i/>
      <w:iCs/>
      <w:color w:val="000000"/>
      <w:kern w:val="2"/>
      <w:sz w:val="21"/>
      <w:szCs w:val="21"/>
    </w:rPr>
  </w:style>
  <w:style w:type="character" w:customStyle="1" w:styleId="217">
    <w:name w:val="批注框文本 Char2"/>
    <w:basedOn w:val="57"/>
    <w:link w:val="36"/>
    <w:qFormat/>
    <w:uiPriority w:val="0"/>
    <w:rPr>
      <w:kern w:val="2"/>
      <w:sz w:val="18"/>
      <w:szCs w:val="18"/>
    </w:rPr>
  </w:style>
  <w:style w:type="character" w:customStyle="1" w:styleId="218">
    <w:name w:val="批注文字 Char1"/>
    <w:basedOn w:val="57"/>
    <w:link w:val="21"/>
    <w:qFormat/>
    <w:uiPriority w:val="0"/>
    <w:rPr>
      <w:kern w:val="2"/>
      <w:sz w:val="21"/>
      <w:szCs w:val="21"/>
    </w:rPr>
  </w:style>
  <w:style w:type="character" w:customStyle="1" w:styleId="219">
    <w:name w:val="批注主题 Char1"/>
    <w:basedOn w:val="218"/>
    <w:link w:val="52"/>
    <w:qFormat/>
    <w:uiPriority w:val="0"/>
    <w:rPr>
      <w:b/>
      <w:bCs/>
      <w:kern w:val="2"/>
      <w:sz w:val="21"/>
      <w:szCs w:val="21"/>
    </w:rPr>
  </w:style>
  <w:style w:type="character" w:customStyle="1" w:styleId="220">
    <w:name w:val="正文文本缩进 3 Char1"/>
    <w:basedOn w:val="57"/>
    <w:link w:val="44"/>
    <w:qFormat/>
    <w:uiPriority w:val="0"/>
    <w:rPr>
      <w:kern w:val="2"/>
      <w:sz w:val="16"/>
      <w:szCs w:val="16"/>
    </w:rPr>
  </w:style>
  <w:style w:type="character" w:customStyle="1" w:styleId="221">
    <w:name w:val="正文文本 Char2"/>
    <w:basedOn w:val="57"/>
    <w:link w:val="23"/>
    <w:qFormat/>
    <w:uiPriority w:val="0"/>
    <w:rPr>
      <w:kern w:val="2"/>
      <w:sz w:val="21"/>
      <w:szCs w:val="21"/>
    </w:rPr>
  </w:style>
  <w:style w:type="character" w:customStyle="1" w:styleId="222">
    <w:name w:val="文档结构图 Char2"/>
    <w:basedOn w:val="57"/>
    <w:link w:val="19"/>
    <w:qFormat/>
    <w:uiPriority w:val="0"/>
    <w:rPr>
      <w:rFonts w:ascii="宋体"/>
      <w:kern w:val="2"/>
      <w:sz w:val="18"/>
      <w:szCs w:val="18"/>
    </w:rPr>
  </w:style>
  <w:style w:type="character" w:customStyle="1" w:styleId="223">
    <w:name w:val="日期 Char1"/>
    <w:basedOn w:val="57"/>
    <w:link w:val="34"/>
    <w:qFormat/>
    <w:uiPriority w:val="0"/>
    <w:rPr>
      <w:kern w:val="2"/>
      <w:sz w:val="21"/>
      <w:szCs w:val="21"/>
    </w:rPr>
  </w:style>
  <w:style w:type="character" w:customStyle="1" w:styleId="224">
    <w:name w:val="正文文本缩进 Char1"/>
    <w:basedOn w:val="57"/>
    <w:link w:val="24"/>
    <w:qFormat/>
    <w:uiPriority w:val="0"/>
    <w:rPr>
      <w:kern w:val="2"/>
      <w:sz w:val="21"/>
      <w:szCs w:val="21"/>
    </w:rPr>
  </w:style>
  <w:style w:type="character" w:customStyle="1" w:styleId="225">
    <w:name w:val="正文首行缩进 2 Char1"/>
    <w:basedOn w:val="224"/>
    <w:link w:val="54"/>
    <w:qFormat/>
    <w:uiPriority w:val="0"/>
    <w:rPr>
      <w:kern w:val="2"/>
      <w:sz w:val="21"/>
      <w:szCs w:val="21"/>
    </w:rPr>
  </w:style>
  <w:style w:type="character" w:customStyle="1" w:styleId="226">
    <w:name w:val="纯文本 Char1"/>
    <w:basedOn w:val="57"/>
    <w:link w:val="227"/>
    <w:qFormat/>
    <w:uiPriority w:val="0"/>
    <w:rPr>
      <w:rFonts w:ascii="宋体" w:hAnsi="Courier New" w:cs="Courier New"/>
      <w:kern w:val="2"/>
      <w:sz w:val="21"/>
      <w:szCs w:val="21"/>
    </w:rPr>
  </w:style>
  <w:style w:type="paragraph" w:customStyle="1" w:styleId="227">
    <w:name w:val="纯文本1"/>
    <w:basedOn w:val="1"/>
    <w:link w:val="226"/>
    <w:qFormat/>
    <w:uiPriority w:val="0"/>
    <w:rPr>
      <w:rFonts w:ascii="宋体" w:hAnsi="Courier New" w:cs="Courier New"/>
    </w:rPr>
  </w:style>
  <w:style w:type="character" w:customStyle="1" w:styleId="228">
    <w:name w:val="正文首行缩进 Char1"/>
    <w:basedOn w:val="221"/>
    <w:link w:val="53"/>
    <w:qFormat/>
    <w:uiPriority w:val="0"/>
    <w:rPr>
      <w:kern w:val="2"/>
      <w:sz w:val="21"/>
      <w:szCs w:val="21"/>
    </w:rPr>
  </w:style>
  <w:style w:type="character" w:customStyle="1" w:styleId="229">
    <w:name w:val="正文文本 2 Char1"/>
    <w:basedOn w:val="57"/>
    <w:link w:val="48"/>
    <w:qFormat/>
    <w:uiPriority w:val="0"/>
    <w:rPr>
      <w:kern w:val="2"/>
      <w:sz w:val="21"/>
      <w:szCs w:val="21"/>
    </w:rPr>
  </w:style>
  <w:style w:type="character" w:customStyle="1" w:styleId="230">
    <w:name w:val="副标题 Char2"/>
    <w:basedOn w:val="57"/>
    <w:link w:val="41"/>
    <w:qFormat/>
    <w:uiPriority w:val="11"/>
    <w:rPr>
      <w:rFonts w:asciiTheme="majorHAnsi" w:hAnsiTheme="majorHAnsi" w:cstheme="majorBidi"/>
      <w:b/>
      <w:bCs/>
      <w:kern w:val="28"/>
      <w:sz w:val="32"/>
      <w:szCs w:val="32"/>
    </w:rPr>
  </w:style>
  <w:style w:type="character" w:customStyle="1" w:styleId="231">
    <w:name w:val="正文文本缩进 2 Char2"/>
    <w:basedOn w:val="57"/>
    <w:link w:val="35"/>
    <w:qFormat/>
    <w:uiPriority w:val="0"/>
    <w:rPr>
      <w:kern w:val="2"/>
      <w:sz w:val="21"/>
      <w:szCs w:val="21"/>
    </w:rPr>
  </w:style>
  <w:style w:type="character" w:customStyle="1" w:styleId="232">
    <w:name w:val="正文文本 3 Char"/>
    <w:basedOn w:val="57"/>
    <w:link w:val="22"/>
    <w:qFormat/>
    <w:uiPriority w:val="0"/>
    <w:rPr>
      <w:rFonts w:ascii="仿宋_GB2312" w:hAnsi="Arial" w:eastAsia="仿宋_GB2312"/>
      <w:kern w:val="2"/>
      <w:sz w:val="32"/>
      <w:szCs w:val="32"/>
    </w:rPr>
  </w:style>
  <w:style w:type="paragraph" w:customStyle="1" w:styleId="23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3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35">
    <w:name w:val="列表内容"/>
    <w:basedOn w:val="1"/>
    <w:next w:val="1"/>
    <w:qFormat/>
    <w:uiPriority w:val="0"/>
    <w:pPr>
      <w:widowControl/>
      <w:tabs>
        <w:tab w:val="left" w:pos="900"/>
      </w:tabs>
      <w:ind w:left="900" w:hanging="420"/>
      <w:jc w:val="left"/>
    </w:pPr>
    <w:rPr>
      <w:kern w:val="0"/>
      <w:sz w:val="18"/>
      <w:szCs w:val="24"/>
    </w:rPr>
  </w:style>
  <w:style w:type="paragraph" w:customStyle="1" w:styleId="236">
    <w:name w:val="Char Char 字元 字元 字元 Char Char Char Char"/>
    <w:basedOn w:val="1"/>
    <w:qFormat/>
    <w:uiPriority w:val="0"/>
    <w:pPr>
      <w:adjustRightInd w:val="0"/>
      <w:spacing w:line="360" w:lineRule="auto"/>
    </w:pPr>
    <w:rPr>
      <w:kern w:val="0"/>
      <w:sz w:val="24"/>
      <w:szCs w:val="20"/>
    </w:rPr>
  </w:style>
  <w:style w:type="paragraph" w:customStyle="1" w:styleId="237">
    <w:name w:val="Char Char2 Char Char Char Char"/>
    <w:basedOn w:val="1"/>
    <w:qFormat/>
    <w:uiPriority w:val="0"/>
    <w:rPr>
      <w:rFonts w:ascii="Tahoma" w:hAnsi="Tahoma"/>
      <w:sz w:val="24"/>
      <w:szCs w:val="20"/>
    </w:rPr>
  </w:style>
  <w:style w:type="paragraph" w:customStyle="1" w:styleId="238">
    <w:name w:val="_Style 8"/>
    <w:basedOn w:val="1"/>
    <w:qFormat/>
    <w:uiPriority w:val="0"/>
    <w:rPr>
      <w:sz w:val="24"/>
      <w:szCs w:val="20"/>
    </w:rPr>
  </w:style>
  <w:style w:type="paragraph" w:customStyle="1" w:styleId="239">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40">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241">
    <w:name w:val="TextStyle1_Stibo_Grayed"/>
    <w:basedOn w:val="1"/>
    <w:qFormat/>
    <w:uiPriority w:val="0"/>
    <w:pPr>
      <w:widowControl/>
      <w:jc w:val="left"/>
    </w:pPr>
    <w:rPr>
      <w:rFonts w:ascii="Helvetica" w:hAnsi="Helvetica"/>
      <w:color w:val="999999"/>
      <w:kern w:val="0"/>
      <w:sz w:val="20"/>
      <w:szCs w:val="24"/>
      <w:lang w:eastAsia="en-US"/>
    </w:rPr>
  </w:style>
  <w:style w:type="paragraph" w:customStyle="1" w:styleId="242">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243">
    <w:name w:val="附录1"/>
    <w:qFormat/>
    <w:uiPriority w:val="0"/>
    <w:pPr>
      <w:numPr>
        <w:ilvl w:val="0"/>
        <w:numId w:val="6"/>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244">
    <w:name w:val="Char Char Char Char Char Char"/>
    <w:basedOn w:val="1"/>
    <w:qFormat/>
    <w:uiPriority w:val="0"/>
    <w:pPr>
      <w:adjustRightInd w:val="0"/>
      <w:spacing w:line="360" w:lineRule="auto"/>
    </w:pPr>
    <w:rPr>
      <w:kern w:val="0"/>
      <w:sz w:val="24"/>
      <w:szCs w:val="20"/>
    </w:rPr>
  </w:style>
  <w:style w:type="paragraph" w:customStyle="1" w:styleId="245">
    <w:name w:val="TableENHyphenBullets_Stibo_Grayed"/>
    <w:basedOn w:val="246"/>
    <w:next w:val="1"/>
    <w:qFormat/>
    <w:uiPriority w:val="0"/>
    <w:pPr>
      <w:tabs>
        <w:tab w:val="left" w:pos="360"/>
        <w:tab w:val="left" w:pos="720"/>
      </w:tabs>
    </w:pPr>
    <w:rPr>
      <w:color w:val="999999"/>
      <w:szCs w:val="20"/>
    </w:rPr>
  </w:style>
  <w:style w:type="paragraph" w:customStyle="1" w:styleId="246">
    <w:name w:val="TableENHyphenBullets"/>
    <w:next w:val="1"/>
    <w:qFormat/>
    <w:uiPriority w:val="0"/>
    <w:pPr>
      <w:tabs>
        <w:tab w:val="left" w:pos="360"/>
        <w:tab w:val="left" w:pos="720"/>
      </w:tabs>
    </w:pPr>
    <w:rPr>
      <w:rFonts w:ascii="Helvetica" w:hAnsi="Helvetica" w:eastAsia="宋体" w:cs="Times New Roman"/>
      <w:szCs w:val="24"/>
      <w:lang w:val="en-US" w:eastAsia="en-US" w:bidi="ar-SA"/>
    </w:rPr>
  </w:style>
  <w:style w:type="paragraph" w:customStyle="1" w:styleId="2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8">
    <w:name w:val="4"/>
    <w:basedOn w:val="1"/>
    <w:next w:val="44"/>
    <w:qFormat/>
    <w:uiPriority w:val="0"/>
    <w:pPr>
      <w:spacing w:line="360" w:lineRule="auto"/>
      <w:ind w:firstLine="420"/>
    </w:pPr>
    <w:rPr>
      <w:color w:val="FF0000"/>
      <w:sz w:val="24"/>
      <w:szCs w:val="24"/>
    </w:rPr>
  </w:style>
  <w:style w:type="paragraph" w:customStyle="1" w:styleId="24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1">
    <w:name w:val="正文1"/>
    <w:basedOn w:val="1"/>
    <w:qFormat/>
    <w:uiPriority w:val="0"/>
    <w:pPr>
      <w:widowControl/>
      <w:topLinePunct/>
      <w:spacing w:beforeLines="50" w:afterLines="50" w:line="300" w:lineRule="auto"/>
      <w:ind w:left="420"/>
    </w:pPr>
    <w:rPr>
      <w:szCs w:val="24"/>
    </w:rPr>
  </w:style>
  <w:style w:type="paragraph" w:customStyle="1" w:styleId="25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3">
    <w:name w:val="xl1077"/>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254">
    <w:name w:val="表格标题1"/>
    <w:basedOn w:val="1"/>
    <w:qFormat/>
    <w:uiPriority w:val="0"/>
    <w:pPr>
      <w:spacing w:line="400" w:lineRule="exact"/>
      <w:jc w:val="center"/>
    </w:pPr>
    <w:rPr>
      <w:rFonts w:ascii="Arial" w:hAnsi="Arial" w:cs="宋体"/>
      <w:b/>
      <w:bCs/>
    </w:rPr>
  </w:style>
  <w:style w:type="paragraph" w:customStyle="1" w:styleId="255">
    <w:name w:val="EST-List 8"/>
    <w:basedOn w:val="256"/>
    <w:qFormat/>
    <w:uiPriority w:val="0"/>
    <w:pPr>
      <w:numPr>
        <w:ilvl w:val="0"/>
        <w:numId w:val="0"/>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880"/>
        <w:tab w:val="left" w:pos="2940"/>
        <w:tab w:val="left" w:pos="3120"/>
        <w:tab w:val="left" w:pos="3360"/>
        <w:tab w:val="left" w:pos="3540"/>
        <w:tab w:val="left" w:pos="3780"/>
        <w:tab w:val="left" w:pos="3960"/>
        <w:tab w:val="left" w:pos="4200"/>
      </w:tabs>
    </w:pPr>
  </w:style>
  <w:style w:type="paragraph" w:customStyle="1" w:styleId="256">
    <w:name w:val="EST-List 7"/>
    <w:basedOn w:val="257"/>
    <w:qFormat/>
    <w:uiPriority w:val="0"/>
    <w:pPr>
      <w:numPr>
        <w:ilvl w:val="6"/>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 w:val="left" w:pos="3540"/>
        <w:tab w:val="left" w:pos="3780"/>
      </w:tabs>
    </w:pPr>
  </w:style>
  <w:style w:type="paragraph" w:customStyle="1" w:styleId="257">
    <w:name w:val="EST-List 6"/>
    <w:basedOn w:val="258"/>
    <w:qFormat/>
    <w:uiPriority w:val="0"/>
    <w:pPr>
      <w:numPr>
        <w:ilvl w:val="5"/>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s>
    </w:pPr>
  </w:style>
  <w:style w:type="paragraph" w:customStyle="1" w:styleId="258">
    <w:name w:val="EST-List 5"/>
    <w:basedOn w:val="259"/>
    <w:qFormat/>
    <w:uiPriority w:val="0"/>
    <w:pPr>
      <w:numPr>
        <w:ilvl w:val="4"/>
      </w:numPr>
      <w:tabs>
        <w:tab w:val="left" w:pos="300"/>
        <w:tab w:val="left" w:pos="360"/>
        <w:tab w:val="left" w:pos="600"/>
        <w:tab w:val="left" w:pos="1080"/>
        <w:tab w:val="left" w:pos="1260"/>
        <w:tab w:val="left" w:pos="1440"/>
        <w:tab w:val="left" w:pos="1800"/>
        <w:tab w:val="left" w:pos="1860"/>
        <w:tab w:val="left" w:pos="2100"/>
        <w:tab w:val="left" w:pos="2280"/>
        <w:tab w:val="left" w:pos="2520"/>
        <w:tab w:val="left" w:pos="2700"/>
        <w:tab w:val="left" w:pos="2940"/>
      </w:tabs>
      <w:ind w:left="0"/>
    </w:pPr>
  </w:style>
  <w:style w:type="paragraph" w:customStyle="1" w:styleId="259">
    <w:name w:val="EST-List 4"/>
    <w:basedOn w:val="260"/>
    <w:qFormat/>
    <w:uiPriority w:val="0"/>
    <w:pPr>
      <w:numPr>
        <w:ilvl w:val="3"/>
      </w:numPr>
      <w:tabs>
        <w:tab w:val="left" w:pos="300"/>
        <w:tab w:val="left" w:pos="360"/>
        <w:tab w:val="left" w:pos="600"/>
        <w:tab w:val="left" w:pos="1080"/>
        <w:tab w:val="left" w:pos="1260"/>
        <w:tab w:val="left" w:pos="1440"/>
        <w:tab w:val="left" w:pos="1860"/>
        <w:tab w:val="left" w:pos="2100"/>
        <w:tab w:val="left" w:pos="2280"/>
        <w:tab w:val="left" w:pos="2520"/>
      </w:tabs>
      <w:ind w:left="600" w:hanging="2920"/>
    </w:pPr>
  </w:style>
  <w:style w:type="paragraph" w:customStyle="1" w:styleId="260">
    <w:name w:val="EST-List 3"/>
    <w:basedOn w:val="261"/>
    <w:qFormat/>
    <w:uiPriority w:val="0"/>
    <w:pPr>
      <w:numPr>
        <w:ilvl w:val="2"/>
      </w:numPr>
      <w:tabs>
        <w:tab w:val="left" w:pos="300"/>
        <w:tab w:val="left" w:pos="360"/>
        <w:tab w:val="left" w:pos="1080"/>
        <w:tab w:val="left" w:pos="1260"/>
        <w:tab w:val="left" w:pos="1860"/>
        <w:tab w:val="left" w:pos="2100"/>
      </w:tabs>
      <w:ind w:left="300" w:hanging="2620"/>
    </w:pPr>
  </w:style>
  <w:style w:type="paragraph" w:customStyle="1" w:styleId="261">
    <w:name w:val="EST-List 2"/>
    <w:basedOn w:val="1"/>
    <w:qFormat/>
    <w:uiPriority w:val="0"/>
    <w:pPr>
      <w:keepLines/>
      <w:widowControl/>
      <w:numPr>
        <w:ilvl w:val="1"/>
        <w:numId w:val="7"/>
      </w:numPr>
      <w:spacing w:before="60" w:after="60"/>
      <w:jc w:val="left"/>
    </w:pPr>
    <w:rPr>
      <w:kern w:val="0"/>
      <w:sz w:val="20"/>
      <w:szCs w:val="24"/>
    </w:rPr>
  </w:style>
  <w:style w:type="paragraph" w:customStyle="1" w:styleId="262">
    <w:name w:val="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6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6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7">
    <w:name w:val="a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8">
    <w:name w:val="xl10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26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70">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szCs w:val="22"/>
    </w:rPr>
  </w:style>
  <w:style w:type="paragraph" w:customStyle="1" w:styleId="271">
    <w:name w:val="Body Text(ch)"/>
    <w:basedOn w:val="1"/>
    <w:next w:val="23"/>
    <w:qFormat/>
    <w:uiPriority w:val="0"/>
    <w:pPr>
      <w:spacing w:after="120"/>
    </w:pPr>
    <w:rPr>
      <w:rFonts w:ascii="宋体" w:hAnsi="Arial"/>
      <w:bCs/>
      <w:iCs/>
      <w:szCs w:val="24"/>
    </w:rPr>
  </w:style>
  <w:style w:type="paragraph" w:customStyle="1" w:styleId="27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3">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74">
    <w:name w:val="Char Char1"/>
    <w:basedOn w:val="1"/>
    <w:qFormat/>
    <w:uiPriority w:val="0"/>
    <w:pPr>
      <w:widowControl/>
      <w:snapToGrid w:val="0"/>
      <w:spacing w:after="160"/>
      <w:ind w:firstLine="300"/>
      <w:jc w:val="left"/>
    </w:pPr>
    <w:rPr>
      <w:rFonts w:ascii="Calibri" w:hAnsi="宋体" w:cs="Arial"/>
      <w:sz w:val="16"/>
    </w:rPr>
  </w:style>
  <w:style w:type="paragraph" w:customStyle="1" w:styleId="27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7">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278">
    <w:name w:val="head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列出段落1"/>
    <w:basedOn w:val="1"/>
    <w:qFormat/>
    <w:uiPriority w:val="0"/>
    <w:pPr>
      <w:ind w:firstLine="420" w:firstLineChars="200"/>
    </w:pPr>
    <w:rPr>
      <w:rFonts w:ascii="Calibri" w:hAnsi="Calibri"/>
      <w:szCs w:val="22"/>
    </w:rPr>
  </w:style>
  <w:style w:type="paragraph" w:customStyle="1" w:styleId="2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281">
    <w:name w:val="xl10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282">
    <w:name w:val="TableText"/>
    <w:qFormat/>
    <w:uiPriority w:val="0"/>
    <w:rPr>
      <w:rFonts w:ascii="Helvetica" w:hAnsi="Helvetica" w:eastAsia="宋体" w:cs="Times New Roman"/>
      <w:sz w:val="18"/>
      <w:szCs w:val="24"/>
      <w:lang w:val="en-US" w:eastAsia="en-US" w:bidi="ar-SA"/>
    </w:rPr>
  </w:style>
  <w:style w:type="paragraph" w:customStyle="1" w:styleId="28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4">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8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9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2">
    <w:name w:val="subtitle 2"/>
    <w:basedOn w:val="1"/>
    <w:qFormat/>
    <w:uiPriority w:val="0"/>
    <w:pPr>
      <w:adjustRightInd w:val="0"/>
      <w:spacing w:before="240" w:after="240" w:line="312" w:lineRule="atLeast"/>
    </w:pPr>
    <w:rPr>
      <w:rFonts w:eastAsia="黑体"/>
      <w:kern w:val="0"/>
      <w:sz w:val="24"/>
      <w:szCs w:val="20"/>
    </w:rPr>
  </w:style>
  <w:style w:type="paragraph" w:customStyle="1" w:styleId="293">
    <w:name w:val="Char1"/>
    <w:basedOn w:val="1"/>
    <w:qFormat/>
    <w:uiPriority w:val="0"/>
    <w:pPr>
      <w:tabs>
        <w:tab w:val="left" w:pos="840"/>
      </w:tabs>
      <w:ind w:left="840" w:hanging="420"/>
    </w:pPr>
    <w:rPr>
      <w:sz w:val="24"/>
      <w:szCs w:val="24"/>
    </w:rPr>
  </w:style>
  <w:style w:type="paragraph" w:customStyle="1" w:styleId="294">
    <w:name w:val="xl84"/>
    <w:basedOn w:val="1"/>
    <w:qFormat/>
    <w:uiPriority w:val="0"/>
    <w:pPr>
      <w:widowControl/>
      <w:spacing w:before="100" w:beforeAutospacing="1" w:after="100" w:afterAutospacing="1"/>
      <w:jc w:val="center"/>
      <w:textAlignment w:val="center"/>
    </w:pPr>
    <w:rPr>
      <w:kern w:val="0"/>
      <w:sz w:val="20"/>
      <w:szCs w:val="20"/>
    </w:rPr>
  </w:style>
  <w:style w:type="paragraph" w:customStyle="1" w:styleId="295">
    <w:name w:val="tabletextchar1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6">
    <w:name w:val="表号"/>
    <w:basedOn w:val="1"/>
    <w:next w:val="53"/>
    <w:qFormat/>
    <w:uiPriority w:val="0"/>
    <w:pPr>
      <w:keepNext/>
      <w:keepLines/>
      <w:numPr>
        <w:ilvl w:val="8"/>
        <w:numId w:val="8"/>
      </w:numPr>
      <w:autoSpaceDE w:val="0"/>
      <w:autoSpaceDN w:val="0"/>
      <w:adjustRightInd w:val="0"/>
      <w:spacing w:line="360" w:lineRule="auto"/>
      <w:jc w:val="center"/>
    </w:pPr>
    <w:rPr>
      <w:rFonts w:ascii="Arial" w:hAnsi="Arial"/>
      <w:kern w:val="0"/>
      <w:sz w:val="18"/>
      <w:szCs w:val="18"/>
    </w:rPr>
  </w:style>
  <w:style w:type="paragraph" w:customStyle="1" w:styleId="297">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298">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9">
    <w:name w:val="proddesc1"/>
    <w:basedOn w:val="1"/>
    <w:qFormat/>
    <w:uiPriority w:val="0"/>
    <w:pPr>
      <w:widowControl/>
      <w:spacing w:before="75"/>
      <w:jc w:val="left"/>
    </w:pPr>
    <w:rPr>
      <w:rFonts w:ascii="宋体" w:hAnsi="宋体" w:cs="宋体"/>
      <w:kern w:val="0"/>
      <w:sz w:val="24"/>
      <w:szCs w:val="24"/>
    </w:rPr>
  </w:style>
  <w:style w:type="paragraph" w:customStyle="1" w:styleId="300">
    <w:name w:val="BulletStyle1_Stibo_Grayed"/>
    <w:basedOn w:val="301"/>
    <w:qFormat/>
    <w:uiPriority w:val="0"/>
    <w:pPr>
      <w:tabs>
        <w:tab w:val="left" w:pos="720"/>
      </w:tabs>
    </w:pPr>
    <w:rPr>
      <w:color w:val="999999"/>
    </w:rPr>
  </w:style>
  <w:style w:type="paragraph" w:customStyle="1" w:styleId="301">
    <w:name w:val="BulletStyle1"/>
    <w:qFormat/>
    <w:uiPriority w:val="0"/>
    <w:pPr>
      <w:tabs>
        <w:tab w:val="left" w:pos="720"/>
      </w:tabs>
      <w:ind w:left="720" w:hanging="360"/>
    </w:pPr>
    <w:rPr>
      <w:rFonts w:ascii="Helvetica" w:hAnsi="Helvetica" w:eastAsia="宋体" w:cs="Times New Roman"/>
      <w:szCs w:val="24"/>
      <w:lang w:val="en-US" w:eastAsia="en-US" w:bidi="ar-SA"/>
    </w:rPr>
  </w:style>
  <w:style w:type="paragraph" w:customStyle="1" w:styleId="302">
    <w:name w:val="标题2"/>
    <w:basedOn w:val="4"/>
    <w:qFormat/>
    <w:uiPriority w:val="0"/>
    <w:pPr>
      <w:overflowPunct/>
      <w:adjustRightInd/>
      <w:spacing w:before="260" w:after="260" w:line="416" w:lineRule="auto"/>
      <w:jc w:val="both"/>
      <w:textAlignment w:val="auto"/>
    </w:pPr>
    <w:rPr>
      <w:rFonts w:ascii="Arial" w:hAnsi="Arial" w:eastAsia="宋体"/>
      <w:b w:val="0"/>
      <w:bCs/>
      <w:snapToGrid w:val="0"/>
      <w:kern w:val="0"/>
      <w:sz w:val="32"/>
      <w:szCs w:val="32"/>
    </w:rPr>
  </w:style>
  <w:style w:type="paragraph" w:customStyle="1" w:styleId="303">
    <w:name w:val="文本框样式1"/>
    <w:basedOn w:val="1"/>
    <w:qFormat/>
    <w:uiPriority w:val="0"/>
    <w:pPr>
      <w:spacing w:before="60" w:line="180" w:lineRule="exact"/>
      <w:jc w:val="center"/>
    </w:pPr>
  </w:style>
  <w:style w:type="paragraph" w:customStyle="1" w:styleId="304">
    <w:name w:val="kimzbi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5">
    <w:name w:val="标书内容"/>
    <w:basedOn w:val="1"/>
    <w:qFormat/>
    <w:uiPriority w:val="0"/>
    <w:pPr>
      <w:widowControl/>
      <w:spacing w:line="360" w:lineRule="auto"/>
      <w:ind w:firstLine="200" w:firstLineChars="200"/>
      <w:jc w:val="left"/>
    </w:pPr>
    <w:rPr>
      <w:szCs w:val="20"/>
    </w:rPr>
  </w:style>
  <w:style w:type="paragraph" w:customStyle="1" w:styleId="30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307">
    <w:name w:val="figur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0"/>
      <w:szCs w:val="20"/>
    </w:rPr>
  </w:style>
  <w:style w:type="paragraph" w:customStyle="1" w:styleId="309">
    <w:name w:val="xl10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31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11">
    <w:name w:val="正文格式"/>
    <w:basedOn w:val="1"/>
    <w:qFormat/>
    <w:uiPriority w:val="0"/>
    <w:pPr>
      <w:widowControl/>
      <w:adjustRightInd w:val="0"/>
      <w:snapToGrid w:val="0"/>
      <w:spacing w:line="360" w:lineRule="atLeast"/>
      <w:ind w:firstLine="482"/>
      <w:textAlignment w:val="baseline"/>
    </w:pPr>
    <w:rPr>
      <w:kern w:val="0"/>
      <w:sz w:val="24"/>
      <w:szCs w:val="20"/>
    </w:rPr>
  </w:style>
  <w:style w:type="paragraph" w:customStyle="1" w:styleId="3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1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15">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character" w:customStyle="1" w:styleId="317">
    <w:name w:val="引用 Char2"/>
    <w:basedOn w:val="57"/>
    <w:link w:val="141"/>
    <w:qFormat/>
    <w:uiPriority w:val="29"/>
    <w:rPr>
      <w:i/>
      <w:iCs/>
      <w:color w:val="000000" w:themeColor="text1"/>
      <w:kern w:val="2"/>
      <w:sz w:val="21"/>
      <w:szCs w:val="21"/>
      <w14:textFill>
        <w14:solidFill>
          <w14:schemeClr w14:val="tx1"/>
        </w14:solidFill>
      </w14:textFill>
    </w:rPr>
  </w:style>
  <w:style w:type="paragraph" w:customStyle="1" w:styleId="318">
    <w:name w:val="正文-带编号1)"/>
    <w:basedOn w:val="1"/>
    <w:qFormat/>
    <w:uiPriority w:val="0"/>
    <w:pPr>
      <w:numPr>
        <w:ilvl w:val="0"/>
        <w:numId w:val="9"/>
      </w:numPr>
      <w:spacing w:line="400" w:lineRule="exact"/>
    </w:pPr>
    <w:rPr>
      <w:rFonts w:ascii="Arial" w:hAnsi="Arial"/>
      <w:szCs w:val="24"/>
    </w:rPr>
  </w:style>
  <w:style w:type="paragraph" w:customStyle="1" w:styleId="319">
    <w:name w:val="二级1.1"/>
    <w:basedOn w:val="4"/>
    <w:next w:val="4"/>
    <w:qFormat/>
    <w:uiPriority w:val="0"/>
    <w:pPr>
      <w:overflowPunct/>
      <w:adjustRightInd/>
      <w:spacing w:beforeLines="50"/>
      <w:jc w:val="both"/>
      <w:textAlignment w:val="auto"/>
    </w:pPr>
    <w:rPr>
      <w:rFonts w:ascii="Arial" w:hAnsi="Arial" w:eastAsia="宋体"/>
      <w:bCs/>
      <w:sz w:val="28"/>
      <w:szCs w:val="32"/>
    </w:rPr>
  </w:style>
  <w:style w:type="paragraph" w:customStyle="1" w:styleId="32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1">
    <w:name w:val="xl1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szCs w:val="22"/>
    </w:rPr>
  </w:style>
  <w:style w:type="paragraph" w:customStyle="1" w:styleId="322">
    <w:name w:val="font11"/>
    <w:basedOn w:val="1"/>
    <w:qFormat/>
    <w:uiPriority w:val="0"/>
    <w:pPr>
      <w:widowControl/>
      <w:spacing w:before="100" w:beforeAutospacing="1" w:after="100" w:afterAutospacing="1"/>
      <w:jc w:val="left"/>
    </w:pPr>
    <w:rPr>
      <w:kern w:val="0"/>
      <w:sz w:val="20"/>
      <w:szCs w:val="20"/>
    </w:rPr>
  </w:style>
  <w:style w:type="paragraph" w:customStyle="1" w:styleId="323">
    <w:name w:val="表格文本"/>
    <w:basedOn w:val="1"/>
    <w:qFormat/>
    <w:uiPriority w:val="0"/>
    <w:pPr>
      <w:tabs>
        <w:tab w:val="decimal" w:pos="0"/>
      </w:tabs>
      <w:autoSpaceDE w:val="0"/>
      <w:autoSpaceDN w:val="0"/>
      <w:adjustRightInd w:val="0"/>
      <w:jc w:val="left"/>
    </w:pPr>
    <w:rPr>
      <w:rFonts w:ascii="Arial" w:hAnsi="Arial"/>
      <w:kern w:val="0"/>
    </w:rPr>
  </w:style>
  <w:style w:type="paragraph" w:customStyle="1" w:styleId="324">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2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3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Char Char Char Char Char Char Char Char Char Char"/>
    <w:basedOn w:val="1"/>
    <w:qFormat/>
    <w:uiPriority w:val="0"/>
    <w:pPr>
      <w:adjustRightInd w:val="0"/>
      <w:spacing w:line="360" w:lineRule="auto"/>
    </w:pPr>
    <w:rPr>
      <w:kern w:val="0"/>
      <w:sz w:val="24"/>
      <w:szCs w:val="20"/>
    </w:rPr>
  </w:style>
  <w:style w:type="paragraph" w:customStyle="1" w:styleId="32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330">
    <w:name w:val="xl71"/>
    <w:basedOn w:val="1"/>
    <w:qFormat/>
    <w:uiPriority w:val="0"/>
    <w:pPr>
      <w:widowControl/>
      <w:spacing w:before="100" w:beforeAutospacing="1" w:after="100" w:afterAutospacing="1"/>
      <w:jc w:val="left"/>
    </w:pPr>
    <w:rPr>
      <w:kern w:val="0"/>
      <w:sz w:val="18"/>
      <w:szCs w:val="18"/>
    </w:rPr>
  </w:style>
  <w:style w:type="paragraph" w:customStyle="1" w:styleId="33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2">
    <w:name w:val="xl1100"/>
    <w:basedOn w:val="1"/>
    <w:qFormat/>
    <w:uiPriority w:val="0"/>
    <w:pPr>
      <w:widowControl/>
      <w:shd w:val="clear" w:color="000000" w:fill="FFFFFF"/>
      <w:spacing w:before="100" w:beforeAutospacing="1" w:after="100" w:afterAutospacing="1"/>
      <w:jc w:val="left"/>
    </w:pPr>
    <w:rPr>
      <w:rFonts w:ascii="宋体" w:hAnsi="宋体" w:cs="宋体"/>
      <w:color w:val="FF0000"/>
      <w:kern w:val="0"/>
      <w:sz w:val="22"/>
      <w:szCs w:val="22"/>
    </w:rPr>
  </w:style>
  <w:style w:type="paragraph" w:customStyle="1" w:styleId="33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4">
    <w:name w:val="xl14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3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33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337">
    <w:name w:val="xl1076"/>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338">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9">
    <w:name w:val="Char"/>
    <w:basedOn w:val="19"/>
    <w:qFormat/>
    <w:uiPriority w:val="0"/>
    <w:rPr>
      <w:rFonts w:ascii="Tahoma" w:hAnsi="Tahoma"/>
      <w:sz w:val="24"/>
      <w:szCs w:val="24"/>
    </w:rPr>
  </w:style>
  <w:style w:type="paragraph" w:customStyle="1" w:styleId="340">
    <w:name w:val="xl10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3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42">
    <w:name w:val="样式 标题 1H1Normal + Font: HelveticaBoldSpace Before 12 ptNot ..."/>
    <w:basedOn w:val="3"/>
    <w:next w:val="3"/>
    <w:qFormat/>
    <w:uiPriority w:val="0"/>
    <w:pPr>
      <w:spacing w:before="100" w:beforeAutospacing="1" w:after="100" w:afterAutospacing="1" w:line="0" w:lineRule="atLeast"/>
    </w:pPr>
    <w:rPr>
      <w:rFonts w:ascii="黑体" w:hAnsi="黑体" w:eastAsia="黑体"/>
      <w:b w:val="0"/>
      <w:sz w:val="28"/>
      <w:szCs w:val="44"/>
    </w:rPr>
  </w:style>
  <w:style w:type="paragraph" w:customStyle="1" w:styleId="34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4">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45">
    <w:name w:val="table_1stline"/>
    <w:basedOn w:val="1"/>
    <w:qFormat/>
    <w:uiPriority w:val="0"/>
    <w:pPr>
      <w:widowControl/>
      <w:spacing w:before="120"/>
      <w:jc w:val="left"/>
    </w:pPr>
    <w:rPr>
      <w:bCs/>
      <w:kern w:val="0"/>
      <w:sz w:val="20"/>
      <w:szCs w:val="20"/>
      <w:lang w:val="de-DE" w:eastAsia="de-DE"/>
    </w:rPr>
  </w:style>
  <w:style w:type="paragraph" w:customStyle="1" w:styleId="346">
    <w:name w:val="SANGFOR_6_1级编号"/>
    <w:basedOn w:val="347"/>
    <w:qFormat/>
    <w:uiPriority w:val="0"/>
    <w:pPr>
      <w:numPr>
        <w:ilvl w:val="0"/>
        <w:numId w:val="10"/>
      </w:numPr>
      <w:tabs>
        <w:tab w:val="left" w:pos="420"/>
      </w:tabs>
      <w:ind w:firstLine="0" w:firstLineChars="0"/>
    </w:pPr>
  </w:style>
  <w:style w:type="paragraph" w:customStyle="1" w:styleId="347">
    <w:name w:val="SANGFOR_6_正文"/>
    <w:basedOn w:val="1"/>
    <w:qFormat/>
    <w:uiPriority w:val="0"/>
    <w:pPr>
      <w:spacing w:line="360" w:lineRule="auto"/>
      <w:ind w:right="210" w:firstLine="420" w:firstLineChars="200"/>
    </w:pPr>
    <w:rPr>
      <w:szCs w:val="24"/>
    </w:rPr>
  </w:style>
  <w:style w:type="paragraph" w:customStyle="1" w:styleId="348">
    <w:name w:val="Char Char2 Char Char Char Char Char Char Char"/>
    <w:basedOn w:val="1"/>
    <w:qFormat/>
    <w:uiPriority w:val="0"/>
    <w:rPr>
      <w:rFonts w:ascii="Tahoma" w:hAnsi="Tahoma"/>
      <w:sz w:val="24"/>
      <w:szCs w:val="20"/>
    </w:rPr>
  </w:style>
  <w:style w:type="paragraph" w:customStyle="1" w:styleId="349">
    <w:name w:val="xl82"/>
    <w:basedOn w:val="1"/>
    <w:qFormat/>
    <w:uiPriority w:val="0"/>
    <w:pPr>
      <w:widowControl/>
      <w:spacing w:before="100" w:beforeAutospacing="1" w:after="100" w:afterAutospacing="1"/>
      <w:jc w:val="center"/>
      <w:textAlignment w:val="center"/>
    </w:pPr>
    <w:rPr>
      <w:kern w:val="0"/>
      <w:sz w:val="20"/>
      <w:szCs w:val="20"/>
    </w:rPr>
  </w:style>
  <w:style w:type="paragraph" w:customStyle="1" w:styleId="350">
    <w:name w:val="图样式"/>
    <w:basedOn w:val="1"/>
    <w:qFormat/>
    <w:uiPriority w:val="0"/>
    <w:pPr>
      <w:keepNext/>
      <w:widowControl/>
      <w:autoSpaceDE w:val="0"/>
      <w:autoSpaceDN w:val="0"/>
      <w:adjustRightInd w:val="0"/>
      <w:spacing w:before="80" w:after="80" w:line="360" w:lineRule="auto"/>
      <w:jc w:val="center"/>
    </w:pPr>
    <w:rPr>
      <w:kern w:val="0"/>
      <w:szCs w:val="20"/>
    </w:rPr>
  </w:style>
  <w:style w:type="paragraph" w:customStyle="1" w:styleId="351">
    <w:name w:val="table_lines"/>
    <w:basedOn w:val="1"/>
    <w:qFormat/>
    <w:uiPriority w:val="0"/>
    <w:pPr>
      <w:widowControl/>
      <w:jc w:val="left"/>
    </w:pPr>
    <w:rPr>
      <w:kern w:val="0"/>
      <w:sz w:val="20"/>
      <w:szCs w:val="20"/>
      <w:lang w:val="de-DE" w:eastAsia="de-DE"/>
    </w:rPr>
  </w:style>
  <w:style w:type="paragraph" w:customStyle="1" w:styleId="352">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4">
    <w:name w:val="Char Char Char Char"/>
    <w:basedOn w:val="19"/>
    <w:qFormat/>
    <w:uiPriority w:val="0"/>
    <w:pPr>
      <w:adjustRightInd w:val="0"/>
      <w:snapToGrid w:val="0"/>
      <w:spacing w:line="360" w:lineRule="auto"/>
    </w:pPr>
    <w:rPr>
      <w:rFonts w:ascii="Tahoma" w:hAnsi="Tahoma"/>
      <w:sz w:val="24"/>
      <w:szCs w:val="24"/>
    </w:rPr>
  </w:style>
  <w:style w:type="paragraph" w:customStyle="1" w:styleId="355">
    <w:name w:val="表格文字"/>
    <w:next w:val="1"/>
    <w:qFormat/>
    <w:uiPriority w:val="0"/>
    <w:rPr>
      <w:rFonts w:ascii="Times New Roman" w:hAnsi="Times New Roman" w:eastAsia="宋体" w:cs="Times New Roman"/>
      <w:sz w:val="21"/>
      <w:lang w:val="en-US" w:eastAsia="zh-CN" w:bidi="ar-SA"/>
    </w:rPr>
  </w:style>
  <w:style w:type="paragraph" w:customStyle="1" w:styleId="356">
    <w:name w:val="xl10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357">
    <w:name w:val="段落"/>
    <w:basedOn w:val="1"/>
    <w:qFormat/>
    <w:uiPriority w:val="0"/>
    <w:pPr>
      <w:spacing w:before="120" w:after="120" w:line="0" w:lineRule="atLeast"/>
      <w:ind w:firstLine="567"/>
    </w:pPr>
    <w:rPr>
      <w:sz w:val="28"/>
      <w:szCs w:val="20"/>
    </w:rPr>
  </w:style>
  <w:style w:type="paragraph" w:customStyle="1" w:styleId="358">
    <w:name w:val="font1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59">
    <w:name w:val="正文内容"/>
    <w:basedOn w:val="1"/>
    <w:qFormat/>
    <w:uiPriority w:val="0"/>
    <w:pPr>
      <w:spacing w:line="520" w:lineRule="exact"/>
      <w:ind w:firstLine="200" w:firstLineChars="200"/>
    </w:pPr>
    <w:rPr>
      <w:rFonts w:ascii="方正仿宋简体" w:eastAsia="方正仿宋简体"/>
      <w:sz w:val="28"/>
      <w:szCs w:val="24"/>
    </w:rPr>
  </w:style>
  <w:style w:type="paragraph" w:customStyle="1" w:styleId="36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1">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362">
    <w:name w:val="_Style 22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66">
    <w:name w:val="正文，首行缩进:"/>
    <w:basedOn w:val="1"/>
    <w:qFormat/>
    <w:uiPriority w:val="0"/>
    <w:pPr>
      <w:spacing w:line="360" w:lineRule="auto"/>
      <w:ind w:firstLine="480" w:firstLineChars="200"/>
      <w:jc w:val="left"/>
    </w:pPr>
    <w:rPr>
      <w:rFonts w:ascii="仿宋_GB2312" w:hAnsi="Arial" w:eastAsia="仿宋_GB2312"/>
      <w:kern w:val="0"/>
      <w:sz w:val="24"/>
      <w:szCs w:val="20"/>
    </w:rPr>
  </w:style>
  <w:style w:type="paragraph" w:customStyle="1" w:styleId="367">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368">
    <w:name w:val="Char Char Char Char1"/>
    <w:basedOn w:val="19"/>
    <w:qFormat/>
    <w:uiPriority w:val="0"/>
    <w:pPr>
      <w:adjustRightInd w:val="0"/>
      <w:snapToGrid w:val="0"/>
      <w:spacing w:line="360" w:lineRule="auto"/>
    </w:pPr>
    <w:rPr>
      <w:rFonts w:ascii="Tahoma" w:hAnsi="Tahoma"/>
      <w:sz w:val="24"/>
      <w:szCs w:val="24"/>
    </w:rPr>
  </w:style>
  <w:style w:type="paragraph" w:customStyle="1" w:styleId="369">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71">
    <w:name w:val="duc_title"/>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72">
    <w:name w:val="xl12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74">
    <w:name w:val="figure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6">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2"/>
      <w:szCs w:val="22"/>
    </w:rPr>
  </w:style>
  <w:style w:type="paragraph" w:customStyle="1" w:styleId="377">
    <w:name w:val="font16"/>
    <w:basedOn w:val="1"/>
    <w:qFormat/>
    <w:uiPriority w:val="0"/>
    <w:pPr>
      <w:widowControl/>
      <w:spacing w:before="100" w:beforeAutospacing="1" w:after="100" w:afterAutospacing="1"/>
      <w:jc w:val="left"/>
    </w:pPr>
    <w:rPr>
      <w:kern w:val="0"/>
      <w:sz w:val="20"/>
      <w:szCs w:val="20"/>
    </w:rPr>
  </w:style>
  <w:style w:type="paragraph" w:customStyle="1" w:styleId="378">
    <w:name w:val="figuredescrip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框下空行"/>
    <w:basedOn w:val="380"/>
    <w:next w:val="380"/>
    <w:qFormat/>
    <w:uiPriority w:val="0"/>
    <w:pPr>
      <w:spacing w:before="0" w:after="0" w:line="240" w:lineRule="exact"/>
    </w:pPr>
  </w:style>
  <w:style w:type="paragraph" w:customStyle="1" w:styleId="380">
    <w:name w:val="正文 1"/>
    <w:basedOn w:val="1"/>
    <w:qFormat/>
    <w:uiPriority w:val="0"/>
    <w:pPr>
      <w:widowControl/>
      <w:adjustRightInd w:val="0"/>
      <w:snapToGrid w:val="0"/>
      <w:spacing w:before="80" w:after="80" w:line="360" w:lineRule="auto"/>
      <w:ind w:left="1418"/>
    </w:pPr>
    <w:rPr>
      <w:szCs w:val="20"/>
    </w:rPr>
  </w:style>
  <w:style w:type="paragraph" w:customStyle="1" w:styleId="381">
    <w:name w:val="xl1074"/>
    <w:basedOn w:val="1"/>
    <w:qFormat/>
    <w:uiPriority w:val="0"/>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382">
    <w:name w:val="ColumnHead_Stibo_Grayed"/>
    <w:basedOn w:val="1"/>
    <w:qFormat/>
    <w:uiPriority w:val="0"/>
    <w:pPr>
      <w:widowControl/>
      <w:jc w:val="left"/>
    </w:pPr>
    <w:rPr>
      <w:rFonts w:ascii="Helvetica" w:hAnsi="Helvetica"/>
      <w:b/>
      <w:color w:val="999999"/>
      <w:kern w:val="0"/>
      <w:sz w:val="20"/>
      <w:szCs w:val="24"/>
      <w:lang w:eastAsia="en-US"/>
    </w:rPr>
  </w:style>
  <w:style w:type="paragraph" w:customStyle="1" w:styleId="383">
    <w:name w:val="Char2"/>
    <w:basedOn w:val="1"/>
    <w:qFormat/>
    <w:uiPriority w:val="0"/>
    <w:pPr>
      <w:tabs>
        <w:tab w:val="left" w:pos="360"/>
      </w:tabs>
      <w:ind w:firstLine="200" w:firstLineChars="200"/>
    </w:pPr>
    <w:rPr>
      <w:sz w:val="28"/>
      <w:szCs w:val="30"/>
    </w:rPr>
  </w:style>
  <w:style w:type="paragraph" w:customStyle="1" w:styleId="384">
    <w:name w:val="TextHead1_Stibo_Grayed"/>
    <w:basedOn w:val="1"/>
    <w:qFormat/>
    <w:uiPriority w:val="0"/>
    <w:pPr>
      <w:widowControl/>
      <w:jc w:val="left"/>
    </w:pPr>
    <w:rPr>
      <w:rFonts w:ascii="Helvetica" w:hAnsi="Helvetica"/>
      <w:b/>
      <w:color w:val="999999"/>
      <w:kern w:val="0"/>
      <w:sz w:val="24"/>
      <w:szCs w:val="24"/>
      <w:lang w:eastAsia="en-US"/>
    </w:rPr>
  </w:style>
  <w:style w:type="paragraph" w:customStyle="1" w:styleId="385">
    <w:name w:val="xl112"/>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38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8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9">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90">
    <w:name w:val="bcgg"/>
    <w:basedOn w:val="1"/>
    <w:qFormat/>
    <w:uiPriority w:val="0"/>
    <w:pPr>
      <w:widowControl/>
      <w:spacing w:before="100" w:beforeAutospacing="1" w:after="100" w:afterAutospacing="1" w:line="300" w:lineRule="atLeast"/>
      <w:jc w:val="left"/>
    </w:pPr>
    <w:rPr>
      <w:rFonts w:ascii="ˎ̥" w:hAnsi="ˎ̥"/>
      <w:color w:val="323433"/>
      <w:kern w:val="0"/>
      <w:sz w:val="18"/>
      <w:szCs w:val="20"/>
    </w:rPr>
  </w:style>
  <w:style w:type="paragraph" w:customStyle="1" w:styleId="39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92">
    <w:name w:val="nei"/>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39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5">
    <w:name w:val="titletext6"/>
    <w:basedOn w:val="1"/>
    <w:qFormat/>
    <w:uiPriority w:val="0"/>
    <w:pPr>
      <w:widowControl/>
      <w:spacing w:before="120" w:after="100" w:afterAutospacing="1" w:line="450" w:lineRule="atLeast"/>
      <w:jc w:val="left"/>
    </w:pPr>
    <w:rPr>
      <w:rFonts w:ascii="宋体" w:hAnsi="宋体" w:cs="宋体"/>
      <w:color w:val="C50B1E"/>
      <w:kern w:val="0"/>
      <w:sz w:val="24"/>
      <w:szCs w:val="24"/>
    </w:rPr>
  </w:style>
  <w:style w:type="paragraph" w:customStyle="1" w:styleId="396">
    <w:name w:val="Char Char Char"/>
    <w:basedOn w:val="1"/>
    <w:qFormat/>
    <w:uiPriority w:val="0"/>
    <w:rPr>
      <w:rFonts w:ascii="Arial" w:hAnsi="Arial" w:cs="Arial"/>
      <w:szCs w:val="24"/>
    </w:rPr>
  </w:style>
  <w:style w:type="paragraph" w:customStyle="1" w:styleId="397">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8">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9">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0">
    <w:name w:val="figuredescription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1">
    <w:name w:val="figur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2">
    <w:name w:val="TableBulletStyle1_Stibo_Grayed"/>
    <w:basedOn w:val="403"/>
    <w:next w:val="405"/>
    <w:qFormat/>
    <w:uiPriority w:val="0"/>
    <w:pPr>
      <w:tabs>
        <w:tab w:val="left" w:pos="360"/>
        <w:tab w:val="left" w:pos="720"/>
      </w:tabs>
    </w:pPr>
    <w:rPr>
      <w:color w:val="999999"/>
      <w:szCs w:val="20"/>
    </w:rPr>
  </w:style>
  <w:style w:type="paragraph" w:customStyle="1" w:styleId="403">
    <w:name w:val="TableBulletStyle1"/>
    <w:next w:val="404"/>
    <w:qFormat/>
    <w:uiPriority w:val="0"/>
    <w:pPr>
      <w:keepNext/>
      <w:tabs>
        <w:tab w:val="left" w:pos="360"/>
        <w:tab w:val="left" w:pos="720"/>
      </w:tabs>
    </w:pPr>
    <w:rPr>
      <w:rFonts w:ascii="Helvetica" w:hAnsi="Helvetica" w:eastAsia="宋体" w:cs="Times New Roman"/>
      <w:szCs w:val="24"/>
      <w:lang w:val="en-GB" w:eastAsia="en-US" w:bidi="ar-SA"/>
    </w:rPr>
  </w:style>
  <w:style w:type="paragraph" w:customStyle="1" w:styleId="404">
    <w:name w:val="TableBulletStyle1_NoBullet"/>
    <w:next w:val="403"/>
    <w:qFormat/>
    <w:uiPriority w:val="0"/>
    <w:pPr>
      <w:tabs>
        <w:tab w:val="left" w:pos="720"/>
      </w:tabs>
      <w:ind w:left="720"/>
    </w:pPr>
    <w:rPr>
      <w:rFonts w:ascii="Helvetica" w:hAnsi="Helvetica" w:eastAsia="宋体" w:cs="Times New Roman"/>
      <w:szCs w:val="2"/>
      <w:lang w:val="en-US" w:eastAsia="en-US" w:bidi="ar-SA"/>
    </w:rPr>
  </w:style>
  <w:style w:type="paragraph" w:customStyle="1" w:styleId="405">
    <w:name w:val="TableBulletStyle1_NB_Stibo_Grayed"/>
    <w:basedOn w:val="404"/>
    <w:next w:val="402"/>
    <w:qFormat/>
    <w:uiPriority w:val="0"/>
    <w:rPr>
      <w:color w:val="999999"/>
      <w:szCs w:val="20"/>
    </w:rPr>
  </w:style>
  <w:style w:type="paragraph" w:customStyle="1" w:styleId="406">
    <w:name w:val="图形文字"/>
    <w:next w:val="1"/>
    <w:qFormat/>
    <w:uiPriority w:val="0"/>
    <w:pPr>
      <w:jc w:val="center"/>
    </w:pPr>
    <w:rPr>
      <w:rFonts w:ascii="Times New Roman" w:hAnsi="Times New Roman" w:eastAsia="宋体" w:cs="Times New Roman"/>
      <w:color w:val="000000"/>
      <w:sz w:val="24"/>
      <w:lang w:val="en-US" w:eastAsia="zh-CN" w:bidi="ar-SA"/>
    </w:rPr>
  </w:style>
  <w:style w:type="paragraph" w:customStyle="1" w:styleId="407">
    <w:name w:val="xl1060"/>
    <w:basedOn w:val="1"/>
    <w:qFormat/>
    <w:uiPriority w:val="0"/>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40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09">
    <w:name w:val="缺省文本"/>
    <w:basedOn w:val="1"/>
    <w:qFormat/>
    <w:uiPriority w:val="0"/>
    <w:pPr>
      <w:autoSpaceDE w:val="0"/>
      <w:autoSpaceDN w:val="0"/>
      <w:adjustRightInd w:val="0"/>
      <w:jc w:val="left"/>
    </w:pPr>
    <w:rPr>
      <w:kern w:val="0"/>
      <w:sz w:val="24"/>
      <w:szCs w:val="24"/>
    </w:rPr>
  </w:style>
  <w:style w:type="paragraph" w:customStyle="1" w:styleId="410">
    <w:name w:val="Figure"/>
    <w:basedOn w:val="1"/>
    <w:next w:val="97"/>
    <w:qFormat/>
    <w:uiPriority w:val="0"/>
    <w:pPr>
      <w:keepNext/>
      <w:widowControl/>
      <w:snapToGrid w:val="0"/>
      <w:spacing w:before="80" w:after="80" w:line="300" w:lineRule="auto"/>
      <w:ind w:left="1134"/>
      <w:jc w:val="center"/>
    </w:pPr>
    <w:rPr>
      <w:rFonts w:ascii="Arial" w:hAnsi="Arial" w:cs="Arial"/>
      <w:kern w:val="0"/>
    </w:rPr>
  </w:style>
  <w:style w:type="paragraph" w:customStyle="1" w:styleId="411">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12">
    <w:name w:val="xl1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2"/>
      <w:szCs w:val="22"/>
    </w:rPr>
  </w:style>
  <w:style w:type="paragraph" w:customStyle="1" w:styleId="413">
    <w:name w:val="文字"/>
    <w:basedOn w:val="1"/>
    <w:qFormat/>
    <w:uiPriority w:val="0"/>
    <w:pPr>
      <w:tabs>
        <w:tab w:val="left" w:pos="8520"/>
      </w:tabs>
      <w:spacing w:line="312" w:lineRule="auto"/>
      <w:ind w:right="-210" w:firstLine="556"/>
    </w:pPr>
    <w:rPr>
      <w:rFonts w:ascii="宋体" w:hAnsi="宋体"/>
      <w:sz w:val="28"/>
      <w:szCs w:val="20"/>
    </w:rPr>
  </w:style>
  <w:style w:type="paragraph" w:customStyle="1" w:styleId="41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15">
    <w:name w:val="xl106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416">
    <w:name w:val="xl1101"/>
    <w:basedOn w:val="1"/>
    <w:qFormat/>
    <w:uiPriority w:val="0"/>
    <w:pPr>
      <w:widowControl/>
      <w:pBdr>
        <w:bottom w:val="single" w:color="auto" w:sz="4" w:space="0"/>
      </w:pBdr>
      <w:shd w:val="clear" w:color="000000" w:fill="FFFFFF"/>
      <w:spacing w:before="100" w:beforeAutospacing="1" w:after="100" w:afterAutospacing="1"/>
      <w:jc w:val="center"/>
    </w:pPr>
    <w:rPr>
      <w:rFonts w:ascii="宋体" w:hAnsi="宋体" w:cs="宋体"/>
      <w:b/>
      <w:bCs/>
      <w:kern w:val="0"/>
      <w:sz w:val="36"/>
      <w:szCs w:val="36"/>
    </w:rPr>
  </w:style>
  <w:style w:type="paragraph" w:customStyle="1" w:styleId="417">
    <w:name w:val="xl1075"/>
    <w:basedOn w:val="1"/>
    <w:qFormat/>
    <w:uiPriority w:val="0"/>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418">
    <w:name w:val="xl106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4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20">
    <w:name w:val="xl10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42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22">
    <w:name w:val="样式17"/>
    <w:basedOn w:val="17"/>
    <w:qFormat/>
    <w:uiPriority w:val="0"/>
    <w:pPr>
      <w:widowControl/>
      <w:tabs>
        <w:tab w:val="left" w:pos="2000"/>
      </w:tabs>
      <w:spacing w:before="120" w:after="360"/>
      <w:ind w:left="840" w:hanging="420"/>
      <w:jc w:val="center"/>
    </w:pPr>
    <w:rPr>
      <w:rFonts w:ascii="Arial" w:hAnsi="Arial" w:eastAsia="宋体"/>
      <w:bCs/>
      <w:kern w:val="0"/>
      <w:sz w:val="18"/>
      <w:lang w:eastAsia="en-US"/>
    </w:rPr>
  </w:style>
  <w:style w:type="paragraph" w:customStyle="1" w:styleId="423">
    <w:name w:val="normal bullet"/>
    <w:basedOn w:val="1"/>
    <w:qFormat/>
    <w:uiPriority w:val="0"/>
    <w:pPr>
      <w:tabs>
        <w:tab w:val="left" w:pos="5656"/>
      </w:tabs>
      <w:spacing w:before="100" w:beforeAutospacing="1" w:after="100" w:afterAutospacing="1"/>
    </w:pPr>
    <w:rPr>
      <w:sz w:val="24"/>
      <w:szCs w:val="24"/>
    </w:rPr>
  </w:style>
  <w:style w:type="paragraph" w:customStyle="1" w:styleId="424">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42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正文（首行不缩进）"/>
    <w:basedOn w:val="1"/>
    <w:qFormat/>
    <w:uiPriority w:val="0"/>
    <w:pPr>
      <w:autoSpaceDE w:val="0"/>
      <w:autoSpaceDN w:val="0"/>
      <w:adjustRightInd w:val="0"/>
      <w:spacing w:line="360" w:lineRule="auto"/>
      <w:jc w:val="left"/>
    </w:pPr>
    <w:rPr>
      <w:kern w:val="0"/>
      <w:szCs w:val="20"/>
    </w:rPr>
  </w:style>
  <w:style w:type="paragraph" w:customStyle="1" w:styleId="427">
    <w:name w:val="表格表头"/>
    <w:basedOn w:val="428"/>
    <w:next w:val="428"/>
    <w:qFormat/>
    <w:uiPriority w:val="0"/>
    <w:pPr>
      <w:tabs>
        <w:tab w:val="left" w:pos="420"/>
      </w:tabs>
    </w:pPr>
    <w:rPr>
      <w:b/>
    </w:rPr>
  </w:style>
  <w:style w:type="paragraph" w:customStyle="1" w:styleId="428">
    <w:name w:val="表格正文"/>
    <w:basedOn w:val="1"/>
    <w:qFormat/>
    <w:uiPriority w:val="0"/>
    <w:pPr>
      <w:tabs>
        <w:tab w:val="left" w:pos="420"/>
      </w:tabs>
      <w:spacing w:before="60" w:after="60"/>
    </w:pPr>
    <w:rPr>
      <w:szCs w:val="20"/>
    </w:rPr>
  </w:style>
  <w:style w:type="paragraph" w:customStyle="1" w:styleId="42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0">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31">
    <w:name w:val="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3">
    <w:name w:val="Char1 Char Char Char Char Char Char"/>
    <w:basedOn w:val="1"/>
    <w:qFormat/>
    <w:uiPriority w:val="0"/>
    <w:pPr>
      <w:spacing w:line="360" w:lineRule="auto"/>
    </w:pPr>
    <w:rPr>
      <w:rFonts w:ascii="Tahoma" w:hAnsi="Tahoma"/>
      <w:sz w:val="24"/>
      <w:szCs w:val="20"/>
    </w:rPr>
  </w:style>
  <w:style w:type="paragraph" w:customStyle="1" w:styleId="43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35">
    <w:name w:val="xl1072"/>
    <w:basedOn w:val="1"/>
    <w:qFormat/>
    <w:uiPriority w:val="0"/>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436">
    <w:name w:val="图号"/>
    <w:basedOn w:val="1"/>
    <w:qFormat/>
    <w:uiPriority w:val="0"/>
    <w:pPr>
      <w:numPr>
        <w:ilvl w:val="7"/>
        <w:numId w:val="8"/>
      </w:numPr>
      <w:autoSpaceDE w:val="0"/>
      <w:autoSpaceDN w:val="0"/>
      <w:adjustRightInd w:val="0"/>
      <w:spacing w:before="105" w:line="360" w:lineRule="auto"/>
      <w:jc w:val="center"/>
    </w:pPr>
    <w:rPr>
      <w:rFonts w:ascii="Arial" w:hAnsi="Arial"/>
      <w:kern w:val="0"/>
      <w:sz w:val="18"/>
      <w:szCs w:val="18"/>
    </w:rPr>
  </w:style>
  <w:style w:type="paragraph" w:customStyle="1" w:styleId="437">
    <w:name w:val="SFClearBullets"/>
    <w:qFormat/>
    <w:uiPriority w:val="0"/>
    <w:pPr>
      <w:tabs>
        <w:tab w:val="left" w:pos="360"/>
        <w:tab w:val="left" w:pos="480"/>
      </w:tabs>
    </w:pPr>
    <w:rPr>
      <w:rFonts w:ascii="Helvetica" w:hAnsi="Helvetica" w:eastAsia="宋体" w:cs="Times New Roman"/>
      <w:szCs w:val="24"/>
      <w:lang w:val="en-US" w:eastAsia="en-US" w:bidi="ar-SA"/>
    </w:rPr>
  </w:style>
  <w:style w:type="paragraph" w:customStyle="1" w:styleId="438">
    <w:name w:val="符号列表"/>
    <w:basedOn w:val="1"/>
    <w:qFormat/>
    <w:uiPriority w:val="0"/>
    <w:pPr>
      <w:widowControl/>
      <w:tabs>
        <w:tab w:val="left" w:pos="810"/>
        <w:tab w:val="left" w:pos="964"/>
      </w:tabs>
      <w:snapToGrid w:val="0"/>
      <w:spacing w:line="440" w:lineRule="exact"/>
      <w:ind w:left="810" w:hanging="330"/>
      <w:jc w:val="left"/>
    </w:pPr>
    <w:rPr>
      <w:color w:val="000000"/>
      <w:sz w:val="24"/>
      <w:szCs w:val="24"/>
    </w:rPr>
  </w:style>
  <w:style w:type="paragraph" w:customStyle="1" w:styleId="43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40">
    <w:name w:val="EST-List 9"/>
    <w:basedOn w:val="255"/>
    <w:qFormat/>
    <w:uiPriority w:val="0"/>
    <w:pPr>
      <w:tabs>
        <w:tab w:val="left" w:pos="3240"/>
        <w:tab w:val="left" w:pos="4380"/>
        <w:tab w:val="left" w:pos="4620"/>
        <w:tab w:val="clear" w:pos="2880"/>
        <w:tab w:val="clear" w:pos="3960"/>
      </w:tabs>
    </w:pPr>
  </w:style>
  <w:style w:type="paragraph" w:customStyle="1" w:styleId="441">
    <w:name w:val="xl1102"/>
    <w:basedOn w:val="1"/>
    <w:qFormat/>
    <w:uiPriority w:val="0"/>
    <w:pPr>
      <w:widowControl/>
      <w:pBdr>
        <w:bottom w:val="single" w:color="auto" w:sz="4" w:space="0"/>
      </w:pBdr>
      <w:shd w:val="clear" w:color="000000" w:fill="FFFFFF"/>
      <w:spacing w:before="100" w:beforeAutospacing="1" w:after="100" w:afterAutospacing="1"/>
      <w:jc w:val="center"/>
    </w:pPr>
    <w:rPr>
      <w:rFonts w:ascii="Arial" w:hAnsi="Arial" w:cs="Arial"/>
      <w:b/>
      <w:bCs/>
      <w:kern w:val="0"/>
      <w:sz w:val="36"/>
      <w:szCs w:val="36"/>
    </w:rPr>
  </w:style>
  <w:style w:type="paragraph" w:customStyle="1" w:styleId="44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443">
    <w:name w:val="xl81"/>
    <w:basedOn w:val="1"/>
    <w:qFormat/>
    <w:uiPriority w:val="0"/>
    <w:pPr>
      <w:widowControl/>
      <w:spacing w:before="100" w:beforeAutospacing="1" w:after="100" w:afterAutospacing="1"/>
      <w:jc w:val="center"/>
    </w:pPr>
    <w:rPr>
      <w:kern w:val="0"/>
      <w:sz w:val="18"/>
      <w:szCs w:val="18"/>
    </w:rPr>
  </w:style>
  <w:style w:type="paragraph" w:customStyle="1" w:styleId="444">
    <w:name w:val="图片"/>
    <w:basedOn w:val="1"/>
    <w:next w:val="23"/>
    <w:qFormat/>
    <w:uiPriority w:val="0"/>
    <w:pPr>
      <w:adjustRightInd w:val="0"/>
      <w:jc w:val="center"/>
    </w:pPr>
    <w:rPr>
      <w:szCs w:val="24"/>
    </w:rPr>
  </w:style>
  <w:style w:type="paragraph" w:customStyle="1" w:styleId="445">
    <w:name w:val="Pa10"/>
    <w:basedOn w:val="1"/>
    <w:next w:val="1"/>
    <w:unhideWhenUsed/>
    <w:qFormat/>
    <w:uiPriority w:val="99"/>
    <w:pPr>
      <w:autoSpaceDE w:val="0"/>
      <w:autoSpaceDN w:val="0"/>
      <w:adjustRightInd w:val="0"/>
      <w:spacing w:line="161" w:lineRule="atLeast"/>
      <w:jc w:val="left"/>
    </w:pPr>
    <w:rPr>
      <w:rFonts w:ascii="宋体" w:cs="宋体"/>
      <w:color w:val="000000"/>
      <w:kern w:val="0"/>
      <w:sz w:val="24"/>
      <w:szCs w:val="24"/>
    </w:rPr>
  </w:style>
  <w:style w:type="paragraph" w:customStyle="1" w:styleId="446">
    <w:name w:val="zw"/>
    <w:basedOn w:val="1"/>
    <w:qFormat/>
    <w:uiPriority w:val="0"/>
    <w:pPr>
      <w:widowControl/>
      <w:spacing w:before="100" w:beforeAutospacing="1" w:after="100" w:afterAutospacing="1" w:line="360" w:lineRule="auto"/>
      <w:jc w:val="left"/>
    </w:pPr>
    <w:rPr>
      <w:rFonts w:ascii="宋体" w:hAnsi="宋体" w:cs="宋体"/>
      <w:color w:val="000000"/>
      <w:kern w:val="0"/>
      <w:sz w:val="20"/>
      <w:szCs w:val="20"/>
    </w:rPr>
  </w:style>
  <w:style w:type="paragraph" w:customStyle="1" w:styleId="44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8">
    <w:name w:val="xl1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449">
    <w:name w:val="xl10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22"/>
      <w:szCs w:val="22"/>
    </w:rPr>
  </w:style>
  <w:style w:type="paragraph" w:customStyle="1" w:styleId="450">
    <w:name w:val="Item List Char Char"/>
    <w:qFormat/>
    <w:uiPriority w:val="0"/>
    <w:pPr>
      <w:spacing w:line="300" w:lineRule="auto"/>
      <w:jc w:val="both"/>
    </w:pPr>
    <w:rPr>
      <w:rFonts w:ascii="Arial" w:hAnsi="Arial" w:eastAsia="宋体" w:cs="Arial"/>
      <w:sz w:val="21"/>
      <w:szCs w:val="21"/>
      <w:lang w:val="en-US" w:eastAsia="zh-CN" w:bidi="ar-SA"/>
    </w:rPr>
  </w:style>
  <w:style w:type="paragraph" w:customStyle="1" w:styleId="4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52">
    <w:name w:val="子标题"/>
    <w:basedOn w:val="1"/>
    <w:next w:val="23"/>
    <w:qFormat/>
    <w:uiPriority w:val="0"/>
    <w:pPr>
      <w:adjustRightInd w:val="0"/>
      <w:spacing w:beforeLines="50" w:afterLines="20"/>
      <w:jc w:val="left"/>
      <w:outlineLvl w:val="5"/>
    </w:pPr>
    <w:rPr>
      <w:rFonts w:ascii="黑体" w:eastAsia="黑体"/>
      <w:kern w:val="0"/>
    </w:rPr>
  </w:style>
  <w:style w:type="paragraph" w:customStyle="1" w:styleId="4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54">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457">
    <w:name w:val="xl10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58">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9">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460">
    <w:name w:val="Item Step in Table"/>
    <w:qFormat/>
    <w:uiPriority w:val="0"/>
    <w:pPr>
      <w:spacing w:before="40" w:after="40"/>
      <w:ind w:left="360" w:hanging="360"/>
      <w:jc w:val="both"/>
    </w:pPr>
    <w:rPr>
      <w:rFonts w:ascii="Arial" w:hAnsi="Arial" w:eastAsia="宋体" w:cs="Arial"/>
      <w:sz w:val="18"/>
      <w:szCs w:val="18"/>
      <w:lang w:val="en-US" w:eastAsia="zh-CN" w:bidi="ar-SA"/>
    </w:rPr>
  </w:style>
  <w:style w:type="paragraph" w:customStyle="1" w:styleId="461">
    <w:name w:val="正文 2"/>
    <w:basedOn w:val="133"/>
    <w:qFormat/>
    <w:uiPriority w:val="0"/>
    <w:pPr>
      <w:ind w:left="780" w:leftChars="0" w:hanging="360"/>
    </w:pPr>
    <w:rPr>
      <w:b/>
    </w:rPr>
  </w:style>
  <w:style w:type="paragraph" w:customStyle="1" w:styleId="462">
    <w:name w:val="figure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6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5">
    <w:name w:val="默认段落字体 Para Char"/>
    <w:basedOn w:val="1"/>
    <w:qFormat/>
    <w:uiPriority w:val="0"/>
    <w:rPr>
      <w:rFonts w:ascii="Arial" w:hAnsi="Arial" w:cs="Arial"/>
      <w:szCs w:val="24"/>
    </w:rPr>
  </w:style>
  <w:style w:type="paragraph" w:customStyle="1" w:styleId="466">
    <w:name w:val="a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7">
    <w:name w:val="正文缩进4格"/>
    <w:basedOn w:val="115"/>
    <w:qFormat/>
    <w:uiPriority w:val="0"/>
    <w:pPr>
      <w:ind w:left="2" w:firstLine="538" w:firstLineChars="192"/>
    </w:pPr>
    <w:rPr>
      <w:color w:val="000000"/>
      <w:sz w:val="28"/>
    </w:rPr>
  </w:style>
  <w:style w:type="paragraph" w:customStyle="1" w:styleId="46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69">
    <w:name w:val="figuretext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71">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7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3">
    <w:name w:val="TableText_Stibo_Grayed"/>
    <w:basedOn w:val="282"/>
    <w:qFormat/>
    <w:uiPriority w:val="0"/>
  </w:style>
  <w:style w:type="paragraph" w:customStyle="1" w:styleId="474">
    <w:name w:val="_Style 16"/>
    <w:basedOn w:val="1"/>
    <w:qFormat/>
    <w:uiPriority w:val="0"/>
    <w:pPr>
      <w:widowControl/>
      <w:spacing w:line="400" w:lineRule="exact"/>
      <w:jc w:val="center"/>
    </w:pPr>
    <w:rPr>
      <w:szCs w:val="20"/>
    </w:rPr>
  </w:style>
  <w:style w:type="paragraph" w:customStyle="1" w:styleId="475">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FF0000"/>
      <w:kern w:val="0"/>
      <w:sz w:val="22"/>
      <w:szCs w:val="22"/>
    </w:rPr>
  </w:style>
  <w:style w:type="paragraph" w:customStyle="1" w:styleId="476">
    <w:name w:val="Lb1"/>
    <w:qFormat/>
    <w:uiPriority w:val="0"/>
    <w:pPr>
      <w:tabs>
        <w:tab w:val="left" w:pos="300"/>
        <w:tab w:val="left" w:pos="360"/>
        <w:tab w:val="left" w:pos="907"/>
      </w:tabs>
      <w:spacing w:after="100"/>
    </w:pPr>
    <w:rPr>
      <w:rFonts w:ascii="Times New Roman" w:hAnsi="Times New Roman" w:eastAsia="宋体" w:cs="Times New Roman"/>
      <w:sz w:val="21"/>
      <w:lang w:val="en-US" w:eastAsia="zh-CN" w:bidi="ar-SA"/>
    </w:rPr>
  </w:style>
  <w:style w:type="paragraph" w:customStyle="1" w:styleId="477">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4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9">
    <w:name w:val="样式 一标题 + 三号 左侧:  0 厘米 右侧:  0 厘米 段前: 6 磅 段后: 6 磅"/>
    <w:basedOn w:val="1"/>
    <w:qFormat/>
    <w:uiPriority w:val="0"/>
    <w:pPr>
      <w:autoSpaceDE w:val="0"/>
      <w:autoSpaceDN w:val="0"/>
      <w:adjustRightInd w:val="0"/>
      <w:spacing w:beforeLines="50" w:afterLines="50"/>
    </w:pPr>
    <w:rPr>
      <w:rFonts w:ascii="仿宋_GB2312" w:hAnsi="宋体" w:eastAsia="仿宋_GB2312" w:cs="宋体"/>
      <w:b/>
      <w:kern w:val="0"/>
      <w:sz w:val="24"/>
      <w:szCs w:val="24"/>
      <w:u w:val="single"/>
    </w:rPr>
  </w:style>
  <w:style w:type="paragraph" w:customStyle="1" w:styleId="480">
    <w:name w:val="xl1073"/>
    <w:basedOn w:val="1"/>
    <w:qFormat/>
    <w:uiPriority w:val="0"/>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481">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2">
    <w:name w:val="xl1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4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18"/>
      <w:szCs w:val="18"/>
    </w:rPr>
  </w:style>
  <w:style w:type="paragraph" w:customStyle="1" w:styleId="484">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5">
    <w:name w:val="ptitle"/>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87">
    <w:name w:val="xl7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88">
    <w:name w:val="Lb2"/>
    <w:basedOn w:val="476"/>
    <w:qFormat/>
    <w:uiPriority w:val="0"/>
    <w:pPr>
      <w:tabs>
        <w:tab w:val="left" w:pos="425"/>
        <w:tab w:val="left" w:pos="600"/>
        <w:tab w:val="left" w:pos="1080"/>
        <w:tab w:val="left" w:pos="1440"/>
        <w:tab w:val="clear" w:pos="300"/>
      </w:tabs>
      <w:ind w:left="360"/>
    </w:pPr>
  </w:style>
  <w:style w:type="paragraph" w:customStyle="1" w:styleId="489">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9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1">
    <w:name w:val="xl10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492">
    <w:name w:val="xl110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49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20"/>
      <w:szCs w:val="20"/>
    </w:rPr>
  </w:style>
  <w:style w:type="paragraph" w:customStyle="1" w:styleId="494">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495">
    <w:name w:val="无缩进正文"/>
    <w:basedOn w:val="1"/>
    <w:next w:val="1"/>
    <w:qFormat/>
    <w:uiPriority w:val="0"/>
    <w:pPr>
      <w:spacing w:line="360" w:lineRule="auto"/>
    </w:pPr>
    <w:rPr>
      <w:sz w:val="24"/>
      <w:szCs w:val="20"/>
    </w:rPr>
  </w:style>
  <w:style w:type="paragraph" w:customStyle="1" w:styleId="496">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97">
    <w:name w:val="Lb3"/>
    <w:basedOn w:val="488"/>
    <w:qFormat/>
    <w:uiPriority w:val="0"/>
    <w:pPr>
      <w:numPr>
        <w:ilvl w:val="2"/>
        <w:numId w:val="11"/>
      </w:numPr>
      <w:tabs>
        <w:tab w:val="left" w:pos="900"/>
        <w:tab w:val="left" w:pos="1800"/>
        <w:tab w:val="clear" w:pos="600"/>
        <w:tab w:val="clear" w:pos="907"/>
      </w:tabs>
      <w:ind w:left="720"/>
    </w:pPr>
  </w:style>
  <w:style w:type="paragraph" w:customStyle="1" w:styleId="49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99">
    <w:name w:val="Pa11"/>
    <w:basedOn w:val="1"/>
    <w:next w:val="1"/>
    <w:unhideWhenUsed/>
    <w:qFormat/>
    <w:uiPriority w:val="99"/>
    <w:pPr>
      <w:autoSpaceDE w:val="0"/>
      <w:autoSpaceDN w:val="0"/>
      <w:adjustRightInd w:val="0"/>
      <w:spacing w:line="141" w:lineRule="atLeast"/>
      <w:jc w:val="left"/>
    </w:pPr>
    <w:rPr>
      <w:rFonts w:ascii="宋体" w:cs="宋体"/>
      <w:color w:val="000000"/>
      <w:kern w:val="0"/>
      <w:sz w:val="24"/>
      <w:szCs w:val="24"/>
    </w:rPr>
  </w:style>
  <w:style w:type="paragraph" w:customStyle="1" w:styleId="5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01">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3">
    <w:name w:val="图题"/>
    <w:basedOn w:val="380"/>
    <w:qFormat/>
    <w:uiPriority w:val="0"/>
    <w:pPr>
      <w:spacing w:before="0" w:after="120"/>
      <w:jc w:val="center"/>
    </w:pPr>
    <w:rPr>
      <w:rFonts w:ascii="Arial" w:hAnsi="Arial" w:eastAsia="黑体"/>
      <w:sz w:val="18"/>
    </w:rPr>
  </w:style>
  <w:style w:type="character" w:customStyle="1" w:styleId="504">
    <w:name w:val="明显引用 Char3"/>
    <w:basedOn w:val="57"/>
    <w:link w:val="117"/>
    <w:qFormat/>
    <w:uiPriority w:val="0"/>
    <w:rPr>
      <w:b/>
      <w:bCs/>
      <w:i/>
      <w:iCs/>
      <w:color w:val="4F81BD" w:themeColor="accent1"/>
      <w:kern w:val="2"/>
      <w:sz w:val="21"/>
      <w:szCs w:val="21"/>
      <w14:textFill>
        <w14:solidFill>
          <w14:schemeClr w14:val="accent1"/>
        </w14:solidFill>
      </w14:textFill>
    </w:rPr>
  </w:style>
  <w:style w:type="paragraph" w:customStyle="1" w:styleId="505">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506">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7">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0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09">
    <w:name w:val="3级"/>
    <w:basedOn w:val="5"/>
    <w:qFormat/>
    <w:uiPriority w:val="0"/>
    <w:pPr>
      <w:tabs>
        <w:tab w:val="left" w:pos="480"/>
      </w:tabs>
      <w:adjustRightInd/>
      <w:spacing w:beforeLines="50" w:afterLines="50" w:line="416" w:lineRule="auto"/>
      <w:ind w:left="480" w:hanging="480"/>
      <w:jc w:val="both"/>
      <w:textAlignment w:val="auto"/>
    </w:pPr>
    <w:rPr>
      <w:rFonts w:ascii="宋体" w:hAnsi="宋体" w:eastAsia="宋体"/>
      <w:bCs/>
      <w:sz w:val="21"/>
      <w:szCs w:val="21"/>
    </w:rPr>
  </w:style>
  <w:style w:type="paragraph" w:customStyle="1" w:styleId="510">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511">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51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13">
    <w:name w:val="xl10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51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5">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516">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517">
    <w:name w:val="Char Char Char Char Char Char1"/>
    <w:basedOn w:val="1"/>
    <w:qFormat/>
    <w:uiPriority w:val="0"/>
    <w:pPr>
      <w:adjustRightInd w:val="0"/>
      <w:spacing w:line="360" w:lineRule="auto"/>
    </w:pPr>
    <w:rPr>
      <w:kern w:val="0"/>
      <w:sz w:val="24"/>
      <w:szCs w:val="20"/>
    </w:rPr>
  </w:style>
  <w:style w:type="paragraph" w:customStyle="1" w:styleId="5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19">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1">
    <w:name w:val="a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2">
    <w:name w:val="figur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3">
    <w:name w:val="s01"/>
    <w:basedOn w:val="1"/>
    <w:qFormat/>
    <w:uiPriority w:val="0"/>
    <w:pPr>
      <w:widowControl/>
      <w:spacing w:before="100" w:beforeAutospacing="1" w:after="100" w:afterAutospacing="1" w:line="360" w:lineRule="auto"/>
      <w:jc w:val="left"/>
    </w:pPr>
    <w:rPr>
      <w:rFonts w:ascii="宋体" w:hAnsi="宋体" w:cs="宋体"/>
      <w:color w:val="333333"/>
      <w:kern w:val="0"/>
    </w:rPr>
  </w:style>
  <w:style w:type="paragraph" w:customStyle="1" w:styleId="524">
    <w:name w:val="xl14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525">
    <w:name w:val="xl110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2"/>
      <w:szCs w:val="22"/>
    </w:rPr>
  </w:style>
  <w:style w:type="paragraph" w:customStyle="1" w:styleId="526">
    <w:name w:val="xl83"/>
    <w:basedOn w:val="1"/>
    <w:qFormat/>
    <w:uiPriority w:val="0"/>
    <w:pPr>
      <w:widowControl/>
      <w:spacing w:before="100" w:beforeAutospacing="1" w:after="100" w:afterAutospacing="1"/>
      <w:jc w:val="center"/>
      <w:textAlignment w:val="center"/>
    </w:pPr>
    <w:rPr>
      <w:kern w:val="0"/>
      <w:sz w:val="20"/>
      <w:szCs w:val="20"/>
    </w:rPr>
  </w:style>
  <w:style w:type="paragraph" w:customStyle="1" w:styleId="52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28">
    <w:name w:val="xl12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29">
    <w:name w:val="font13"/>
    <w:basedOn w:val="1"/>
    <w:qFormat/>
    <w:uiPriority w:val="0"/>
    <w:pPr>
      <w:widowControl/>
      <w:spacing w:before="100" w:beforeAutospacing="1" w:after="100" w:afterAutospacing="1"/>
      <w:jc w:val="left"/>
    </w:pPr>
    <w:rPr>
      <w:b/>
      <w:bCs/>
      <w:kern w:val="0"/>
      <w:sz w:val="20"/>
      <w:szCs w:val="20"/>
    </w:rPr>
  </w:style>
  <w:style w:type="paragraph" w:customStyle="1" w:styleId="530">
    <w:name w:val="Char1 Char Char Char"/>
    <w:basedOn w:val="1"/>
    <w:qFormat/>
    <w:uiPriority w:val="0"/>
    <w:pPr>
      <w:spacing w:line="360" w:lineRule="auto"/>
    </w:pPr>
    <w:rPr>
      <w:sz w:val="24"/>
      <w:szCs w:val="20"/>
    </w:rPr>
  </w:style>
  <w:style w:type="paragraph" w:customStyle="1" w:styleId="53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32">
    <w:name w:val="图注"/>
    <w:basedOn w:val="503"/>
    <w:qFormat/>
    <w:uiPriority w:val="0"/>
    <w:pPr>
      <w:spacing w:after="0" w:line="300" w:lineRule="auto"/>
      <w:jc w:val="left"/>
    </w:pPr>
    <w:rPr>
      <w:rFonts w:ascii="Times New Roman" w:hAnsi="Times New Roman" w:eastAsia="楷体_GB2312"/>
    </w:rPr>
  </w:style>
  <w:style w:type="paragraph" w:customStyle="1" w:styleId="533">
    <w:name w:val="xl72"/>
    <w:basedOn w:val="1"/>
    <w:qFormat/>
    <w:uiPriority w:val="0"/>
    <w:pPr>
      <w:widowControl/>
      <w:spacing w:before="100" w:beforeAutospacing="1" w:after="100" w:afterAutospacing="1"/>
      <w:jc w:val="left"/>
    </w:pPr>
    <w:rPr>
      <w:kern w:val="0"/>
      <w:sz w:val="24"/>
      <w:szCs w:val="24"/>
    </w:rPr>
  </w:style>
  <w:style w:type="paragraph" w:customStyle="1" w:styleId="534">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6">
    <w:name w:val="xl1093"/>
    <w:basedOn w:val="1"/>
    <w:qFormat/>
    <w:uiPriority w:val="0"/>
    <w:pPr>
      <w:widowControl/>
      <w:shd w:val="clear" w:color="000000" w:fill="FFFFFF"/>
      <w:spacing w:before="100" w:beforeAutospacing="1" w:after="100" w:afterAutospacing="1"/>
      <w:jc w:val="left"/>
    </w:pPr>
    <w:rPr>
      <w:rFonts w:ascii="宋体" w:hAnsi="宋体" w:cs="宋体"/>
      <w:b/>
      <w:bCs/>
      <w:kern w:val="0"/>
      <w:sz w:val="36"/>
      <w:szCs w:val="36"/>
    </w:rPr>
  </w:style>
  <w:style w:type="paragraph" w:customStyle="1" w:styleId="537">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538">
    <w:name w:val="xl10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9">
    <w:name w:val="段"/>
    <w:qFormat/>
    <w:uiPriority w:val="0"/>
    <w:pPr>
      <w:ind w:firstLine="200" w:firstLineChars="200"/>
      <w:jc w:val="both"/>
    </w:pPr>
    <w:rPr>
      <w:rFonts w:ascii="宋体" w:hAnsi="Times New Roman" w:eastAsia="Times New Roman" w:cs="Times New Roman"/>
      <w:sz w:val="21"/>
      <w:szCs w:val="24"/>
      <w:lang w:val="en-US" w:eastAsia="zh-CN" w:bidi="ar-SA"/>
    </w:rPr>
  </w:style>
  <w:style w:type="character" w:customStyle="1" w:styleId="540">
    <w:name w:val="正文缩进 Char1"/>
    <w:link w:val="541"/>
    <w:qFormat/>
    <w:uiPriority w:val="0"/>
    <w:rPr>
      <w:rFonts w:ascii="宋体"/>
      <w:sz w:val="24"/>
    </w:rPr>
  </w:style>
  <w:style w:type="paragraph" w:customStyle="1" w:styleId="541">
    <w:name w:val="正文缩进1"/>
    <w:basedOn w:val="1"/>
    <w:link w:val="540"/>
    <w:qFormat/>
    <w:uiPriority w:val="0"/>
    <w:pPr>
      <w:autoSpaceDE w:val="0"/>
      <w:autoSpaceDN w:val="0"/>
      <w:adjustRightInd w:val="0"/>
      <w:ind w:firstLine="420"/>
      <w:jc w:val="left"/>
    </w:pPr>
    <w:rPr>
      <w:rFonts w:ascii="宋体"/>
      <w:kern w:val="0"/>
      <w:sz w:val="24"/>
      <w:szCs w:val="20"/>
    </w:rPr>
  </w:style>
  <w:style w:type="paragraph" w:customStyle="1" w:styleId="542">
    <w:name w:val="索引 11"/>
    <w:basedOn w:val="1"/>
    <w:next w:val="1"/>
    <w:qFormat/>
    <w:uiPriority w:val="0"/>
    <w:pPr>
      <w:spacing w:line="360" w:lineRule="auto"/>
    </w:pPr>
    <w:rPr>
      <w:rFonts w:ascii="仿宋_GB2312" w:eastAsia="仿宋_GB2312"/>
      <w:sz w:val="24"/>
      <w:szCs w:val="20"/>
    </w:rPr>
  </w:style>
  <w:style w:type="paragraph" w:customStyle="1" w:styleId="543">
    <w:name w:val="Char Char Char Char Char Char Char Char2"/>
    <w:basedOn w:val="1"/>
    <w:qFormat/>
    <w:uiPriority w:val="0"/>
    <w:pPr>
      <w:snapToGrid w:val="0"/>
      <w:spacing w:line="520" w:lineRule="exact"/>
      <w:ind w:firstLine="560" w:firstLineChars="200"/>
    </w:pPr>
    <w:rPr>
      <w:szCs w:val="20"/>
    </w:rPr>
  </w:style>
  <w:style w:type="paragraph" w:customStyle="1" w:styleId="54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45">
    <w:name w:val="不明显强调2"/>
    <w:qFormat/>
    <w:uiPriority w:val="19"/>
    <w:rPr>
      <w:i/>
      <w:iCs/>
    </w:rPr>
  </w:style>
  <w:style w:type="character" w:customStyle="1" w:styleId="546">
    <w:name w:val="Char Char2"/>
    <w:qFormat/>
    <w:uiPriority w:val="0"/>
    <w:rPr>
      <w:rFonts w:ascii="Times New Roman" w:hAnsi="Times New Roman" w:eastAsia="宋体"/>
      <w:kern w:val="2"/>
      <w:sz w:val="21"/>
      <w:szCs w:val="22"/>
      <w:lang w:val="en-US" w:eastAsia="zh-CN" w:bidi="ar-SA"/>
    </w:rPr>
  </w:style>
  <w:style w:type="character" w:customStyle="1" w:styleId="547">
    <w:name w:val="书籍标题2"/>
    <w:qFormat/>
    <w:uiPriority w:val="0"/>
    <w:rPr>
      <w:i/>
      <w:iCs/>
      <w:smallCaps/>
      <w:spacing w:val="5"/>
    </w:rPr>
  </w:style>
  <w:style w:type="character" w:customStyle="1" w:styleId="548">
    <w:name w:val="不明显参考2"/>
    <w:qFormat/>
    <w:uiPriority w:val="31"/>
    <w:rPr>
      <w:smallCaps/>
    </w:rPr>
  </w:style>
  <w:style w:type="character" w:customStyle="1" w:styleId="549">
    <w:name w:val="明显参考2"/>
    <w:qFormat/>
    <w:uiPriority w:val="0"/>
    <w:rPr>
      <w:smallCaps/>
      <w:spacing w:val="5"/>
      <w:u w:val="single"/>
    </w:rPr>
  </w:style>
  <w:style w:type="character" w:customStyle="1" w:styleId="550">
    <w:name w:val="明显强调2"/>
    <w:qFormat/>
    <w:uiPriority w:val="0"/>
    <w:rPr>
      <w:b/>
      <w:bCs/>
    </w:rPr>
  </w:style>
  <w:style w:type="paragraph" w:customStyle="1" w:styleId="551">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552">
    <w:name w:val="List Paragraph1"/>
    <w:basedOn w:val="1"/>
    <w:qFormat/>
    <w:uiPriority w:val="0"/>
    <w:pPr>
      <w:ind w:firstLine="420" w:firstLineChars="200"/>
    </w:pPr>
    <w:rPr>
      <w:rFonts w:ascii="Calibri" w:hAnsi="Calibri"/>
      <w:szCs w:val="22"/>
    </w:rPr>
  </w:style>
  <w:style w:type="paragraph" w:customStyle="1" w:styleId="553">
    <w:name w:val="TOC 标题2"/>
    <w:basedOn w:val="3"/>
    <w:next w:val="1"/>
    <w:qFormat/>
    <w:uiPriority w:val="0"/>
    <w:pPr>
      <w:keepNext w:val="0"/>
      <w:keepLines w:val="0"/>
      <w:widowControl/>
      <w:spacing w:before="480" w:after="0" w:line="276" w:lineRule="auto"/>
      <w:contextualSpacing/>
      <w:jc w:val="left"/>
      <w:outlineLvl w:val="9"/>
    </w:pPr>
    <w:rPr>
      <w:rFonts w:ascii="Cambria" w:hAnsi="Cambria" w:eastAsia="宋体"/>
      <w:bCs/>
      <w:kern w:val="0"/>
      <w:sz w:val="28"/>
      <w:szCs w:val="28"/>
      <w:lang w:eastAsia="en-US" w:bidi="en-US"/>
    </w:rPr>
  </w:style>
  <w:style w:type="paragraph" w:customStyle="1" w:styleId="554">
    <w:name w:val="Char Char 字元 字元 字元 Char Char Char Char1"/>
    <w:basedOn w:val="1"/>
    <w:qFormat/>
    <w:uiPriority w:val="0"/>
    <w:pPr>
      <w:adjustRightInd w:val="0"/>
      <w:spacing w:line="360" w:lineRule="auto"/>
    </w:pPr>
    <w:rPr>
      <w:kern w:val="0"/>
      <w:sz w:val="24"/>
      <w:szCs w:val="20"/>
    </w:rPr>
  </w:style>
  <w:style w:type="paragraph" w:customStyle="1" w:styleId="555">
    <w:name w:val="Char Char Char Char Char Char2"/>
    <w:basedOn w:val="1"/>
    <w:qFormat/>
    <w:uiPriority w:val="0"/>
    <w:pPr>
      <w:adjustRightInd w:val="0"/>
      <w:spacing w:line="360" w:lineRule="auto"/>
    </w:pPr>
    <w:rPr>
      <w:kern w:val="0"/>
      <w:sz w:val="24"/>
      <w:szCs w:val="20"/>
    </w:rPr>
  </w:style>
  <w:style w:type="paragraph" w:customStyle="1" w:styleId="556">
    <w:name w:val="Char Char2 Char Char Char Char Char Char Char1"/>
    <w:basedOn w:val="1"/>
    <w:qFormat/>
    <w:uiPriority w:val="0"/>
    <w:rPr>
      <w:rFonts w:ascii="Tahoma" w:hAnsi="Tahoma"/>
      <w:sz w:val="24"/>
      <w:szCs w:val="20"/>
    </w:rPr>
  </w:style>
  <w:style w:type="paragraph" w:customStyle="1" w:styleId="557">
    <w:name w:val="Char3"/>
    <w:basedOn w:val="1"/>
    <w:qFormat/>
    <w:uiPriority w:val="0"/>
    <w:rPr>
      <w:rFonts w:ascii="Tahoma" w:hAnsi="Tahoma"/>
      <w:sz w:val="24"/>
      <w:szCs w:val="20"/>
    </w:rPr>
  </w:style>
  <w:style w:type="paragraph" w:customStyle="1" w:styleId="558">
    <w:name w:val="Char Char2 Char Char Char Char1"/>
    <w:basedOn w:val="1"/>
    <w:qFormat/>
    <w:uiPriority w:val="0"/>
    <w:rPr>
      <w:rFonts w:ascii="Tahoma" w:hAnsi="Tahoma"/>
      <w:sz w:val="24"/>
      <w:szCs w:val="20"/>
    </w:rPr>
  </w:style>
  <w:style w:type="paragraph" w:customStyle="1" w:styleId="559">
    <w:name w:val="No Spacing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1">
    <w:name w:val="小标题"/>
    <w:basedOn w:val="1"/>
    <w:qFormat/>
    <w:uiPriority w:val="0"/>
    <w:pPr>
      <w:spacing w:line="360" w:lineRule="auto"/>
    </w:pPr>
    <w:rPr>
      <w:rFonts w:eastAsia="黑体"/>
      <w:b/>
      <w:bCs/>
      <w:sz w:val="28"/>
      <w:szCs w:val="24"/>
      <w:bdr w:val="single" w:color="auto" w:sz="4" w:space="0"/>
    </w:rPr>
  </w:style>
  <w:style w:type="paragraph" w:customStyle="1" w:styleId="562">
    <w:name w:val="Char Char Char Char2"/>
    <w:basedOn w:val="1"/>
    <w:qFormat/>
    <w:uiPriority w:val="0"/>
    <w:rPr>
      <w:rFonts w:ascii="Tahoma" w:hAnsi="Tahoma"/>
      <w:sz w:val="24"/>
      <w:szCs w:val="20"/>
    </w:rPr>
  </w:style>
  <w:style w:type="paragraph" w:customStyle="1" w:styleId="563">
    <w:name w:val="Header2"/>
    <w:basedOn w:val="1"/>
    <w:qFormat/>
    <w:uiPriority w:val="0"/>
    <w:pPr>
      <w:tabs>
        <w:tab w:val="left" w:pos="480"/>
      </w:tabs>
      <w:ind w:left="480" w:hanging="480"/>
    </w:pPr>
    <w:rPr>
      <w:szCs w:val="24"/>
    </w:rPr>
  </w:style>
  <w:style w:type="paragraph" w:customStyle="1" w:styleId="564">
    <w:name w:val="Char Char Char1"/>
    <w:basedOn w:val="1"/>
    <w:qFormat/>
    <w:uiPriority w:val="0"/>
    <w:rPr>
      <w:rFonts w:ascii="Arial" w:hAnsi="Arial" w:cs="Arial"/>
      <w:szCs w:val="24"/>
    </w:rPr>
  </w:style>
  <w:style w:type="paragraph" w:customStyle="1" w:styleId="565">
    <w:name w:val="无间隔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66">
    <w:name w:val="正文缩进 字符"/>
    <w:qFormat/>
    <w:locked/>
    <w:uiPriority w:val="0"/>
    <w:rPr>
      <w:kern w:val="2"/>
      <w:sz w:val="21"/>
    </w:rPr>
  </w:style>
  <w:style w:type="character" w:customStyle="1" w:styleId="567">
    <w:name w:val="Plain Text Char Char"/>
    <w:link w:val="568"/>
    <w:qFormat/>
    <w:uiPriority w:val="0"/>
    <w:rPr>
      <w:rFonts w:ascii="宋体" w:hAnsi="Courier New" w:eastAsia="楷体_GB2312"/>
      <w:kern w:val="2"/>
      <w:sz w:val="26"/>
    </w:rPr>
  </w:style>
  <w:style w:type="paragraph" w:customStyle="1" w:styleId="568">
    <w:name w:val="纯文本2"/>
    <w:basedOn w:val="1"/>
    <w:link w:val="567"/>
    <w:qFormat/>
    <w:uiPriority w:val="0"/>
    <w:pPr>
      <w:adjustRightInd w:val="0"/>
      <w:textAlignment w:val="baseline"/>
    </w:pPr>
    <w:rPr>
      <w:rFonts w:ascii="宋体" w:hAnsi="Courier New" w:eastAsia="楷体_GB2312"/>
      <w:sz w:val="26"/>
      <w:szCs w:val="20"/>
    </w:rPr>
  </w:style>
  <w:style w:type="character" w:customStyle="1" w:styleId="569">
    <w:name w:val="纯文本 字符"/>
    <w:qFormat/>
    <w:locked/>
    <w:uiPriority w:val="0"/>
    <w:rPr>
      <w:rFonts w:ascii="宋体" w:hAnsi="Courier New" w:eastAsia="宋体"/>
      <w:kern w:val="2"/>
      <w:sz w:val="21"/>
      <w:lang w:val="en-US" w:eastAsia="zh-CN" w:bidi="ar-SA"/>
    </w:rPr>
  </w:style>
  <w:style w:type="paragraph" w:customStyle="1" w:styleId="570">
    <w:name w:val="black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1">
    <w:name w:val="my正文"/>
    <w:basedOn w:val="24"/>
    <w:qFormat/>
    <w:uiPriority w:val="0"/>
    <w:pPr>
      <w:spacing w:line="360" w:lineRule="auto"/>
      <w:ind w:firstLine="540" w:firstLineChars="225"/>
    </w:pPr>
    <w:rPr>
      <w:rFonts w:ascii="宋体" w:hAnsi="宋体"/>
      <w:kern w:val="0"/>
      <w:sz w:val="24"/>
      <w:szCs w:val="20"/>
    </w:rPr>
  </w:style>
  <w:style w:type="character" w:customStyle="1" w:styleId="572">
    <w:name w:val="mini-outputtext1"/>
    <w:basedOn w:val="57"/>
    <w:qFormat/>
    <w:uiPriority w:val="0"/>
  </w:style>
  <w:style w:type="table" w:customStyle="1" w:styleId="573">
    <w:name w:val="网格型1"/>
    <w:basedOn w:val="55"/>
    <w:qFormat/>
    <w:uiPriority w:val="59"/>
    <w:pPr>
      <w:jc w:val="both"/>
    </w:pPr>
    <w:rPr>
      <w:rFonts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4">
    <w:name w:val="Heading 2"/>
    <w:basedOn w:val="1"/>
    <w:qFormat/>
    <w:uiPriority w:val="1"/>
    <w:pPr>
      <w:autoSpaceDE w:val="0"/>
      <w:autoSpaceDN w:val="0"/>
      <w:ind w:left="480"/>
      <w:jc w:val="left"/>
      <w:outlineLvl w:val="2"/>
    </w:pPr>
    <w:rPr>
      <w:rFonts w:ascii="黑体" w:hAnsi="黑体" w:eastAsia="黑体" w:cs="黑体"/>
      <w:kern w:val="0"/>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F6A9A-C347-40A7-BE47-11A97ACC2D3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17224</Words>
  <Characters>18642</Characters>
  <Lines>138</Lines>
  <Paragraphs>39</Paragraphs>
  <TotalTime>1</TotalTime>
  <ScaleCrop>false</ScaleCrop>
  <LinksUpToDate>false</LinksUpToDate>
  <CharactersWithSpaces>21482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2022-03-17T05:36:00Z</dcterms:created>
  <dc:creator>微软用户</dc:creator>
  <cp:lastModifiedBy>Administrator</cp:lastModifiedBy>
  <cp:lastPrinted>2022-03-28T02:19:00Z</cp:lastPrinted>
  <dcterms:modified xsi:type="dcterms:W3CDTF">2023-06-27T01:38:03Z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80A5C996F13E43B19A63CC788C7CBC2C</vt:lpwstr>
  </property>
</Properties>
</file>